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F87694" w:rsidRDefault="00943670"/>
    <w:p w:rsidR="00A40476" w:rsidRDefault="008930D0">
      <w:pPr>
        <w:pStyle w:val="ListeParagraf"/>
        <w:widowControl w:val="0"/>
        <w:numPr>
          <w:ilvl w:val="0"/>
          <w:numId w:val="1"/>
        </w:numPr>
        <w:spacing w:line="276" w:lineRule="auto"/>
        <w:ind w:left="567"/>
        <w:contextualSpacing/>
        <w:jc w:val="both"/>
        <w:rPr>
          <w:rFonts w:ascii="Times New Roman" w:hAnsi="Times New Roman"/>
          <w:color w:val="000000"/>
          <w:sz w:val="24"/>
        </w:rPr>
      </w:pPr>
      <w:r>
        <w:rPr>
          <w:rFonts w:ascii="Times New Roman" w:hAnsi="Times New Roman"/>
          <w:b/>
          <w:color w:val="000000"/>
          <w:sz w:val="24"/>
        </w:rPr>
        <w:t>AMAÇ</w:t>
      </w:r>
    </w:p>
    <w:p w:rsidR="00A40476" w:rsidRDefault="008930D0">
      <w:pPr>
        <w:pStyle w:val="ListeParagraf"/>
        <w:widowControl w:val="0"/>
        <w:spacing w:line="276" w:lineRule="auto"/>
        <w:ind w:right="-2" w:firstLine="567"/>
        <w:jc w:val="both"/>
        <w:rPr>
          <w:rFonts w:ascii="Times New Roman" w:hAnsi="Times New Roman"/>
          <w:sz w:val="24"/>
        </w:rPr>
      </w:pPr>
      <w:r>
        <w:rPr>
          <w:rFonts w:ascii="Times New Roman" w:hAnsi="Times New Roman"/>
          <w:sz w:val="24"/>
        </w:rPr>
        <w:t>Kabul Edilebilir Kullanım Politikasının amacı, Kurum personelinin sistem, bilgi ve varlıkların gizlilik, bütünlük ve erişilebilirlik özelliğini garantilemek için yapması ve uyması gereken iş kurallarını kendilerine iletmektir.</w:t>
      </w:r>
    </w:p>
    <w:p w:rsidR="00A40476" w:rsidRDefault="009D4B73">
      <w:pPr>
        <w:pStyle w:val="ListeParagraf"/>
        <w:widowControl w:val="0"/>
        <w:spacing w:line="276" w:lineRule="auto"/>
        <w:ind w:right="-2"/>
        <w:jc w:val="both"/>
        <w:rPr>
          <w:rFonts w:ascii="Times New Roman" w:hAnsi="Times New Roman"/>
          <w:color w:val="000000"/>
          <w:sz w:val="24"/>
        </w:rPr>
      </w:pPr>
    </w:p>
    <w:p w:rsidR="00A40476" w:rsidRDefault="009D4B73">
      <w:pPr>
        <w:pStyle w:val="ListeParagraf"/>
        <w:widowControl w:val="0"/>
        <w:spacing w:line="276" w:lineRule="auto"/>
        <w:ind w:left="567" w:right="-2"/>
        <w:jc w:val="both"/>
        <w:rPr>
          <w:rFonts w:ascii="Times New Roman" w:hAnsi="Times New Roman"/>
          <w:color w:val="000000"/>
          <w:sz w:val="24"/>
        </w:rPr>
      </w:pPr>
    </w:p>
    <w:p w:rsidR="00A40476" w:rsidRDefault="008930D0">
      <w:pPr>
        <w:pStyle w:val="ListeParagraf"/>
        <w:widowControl w:val="0"/>
        <w:numPr>
          <w:ilvl w:val="0"/>
          <w:numId w:val="1"/>
        </w:numPr>
        <w:spacing w:line="276" w:lineRule="auto"/>
        <w:ind w:left="567" w:right="-2"/>
        <w:contextualSpacing/>
        <w:jc w:val="both"/>
        <w:rPr>
          <w:rFonts w:ascii="Times New Roman" w:hAnsi="Times New Roman"/>
          <w:color w:val="000000"/>
          <w:sz w:val="24"/>
        </w:rPr>
      </w:pPr>
      <w:r>
        <w:rPr>
          <w:rFonts w:ascii="Times New Roman" w:hAnsi="Times New Roman"/>
          <w:b/>
          <w:color w:val="000000"/>
          <w:sz w:val="24"/>
        </w:rPr>
        <w:t>KAPSAM</w:t>
      </w:r>
    </w:p>
    <w:p w:rsidR="00A40476" w:rsidRDefault="008930D0">
      <w:pPr>
        <w:pStyle w:val="ListeParagraf"/>
        <w:widowControl w:val="0"/>
        <w:spacing w:line="276" w:lineRule="auto"/>
        <w:ind w:right="-2" w:firstLine="567"/>
        <w:contextualSpacing/>
        <w:jc w:val="both"/>
        <w:rPr>
          <w:rFonts w:ascii="Times New Roman" w:hAnsi="Times New Roman"/>
          <w:color w:val="000000"/>
          <w:sz w:val="24"/>
        </w:rPr>
      </w:pPr>
      <w:r>
        <w:rPr>
          <w:rFonts w:ascii="Times New Roman" w:hAnsi="Times New Roman"/>
          <w:color w:val="000000"/>
          <w:sz w:val="24"/>
        </w:rPr>
        <w:t xml:space="preserve">Bu politika;  </w:t>
      </w:r>
      <w:r>
        <w:rPr>
          <w:rFonts w:ascii="Times New Roman" w:hAnsi="Times New Roman"/>
          <w:sz w:val="24"/>
        </w:rPr>
        <w:t xml:space="preserve">bilişim etkileşimli kritik bilgi varlıklarını </w:t>
      </w:r>
      <w:r>
        <w:rPr>
          <w:rFonts w:ascii="Times New Roman" w:hAnsi="Times New Roman"/>
          <w:color w:val="000000"/>
          <w:sz w:val="24"/>
        </w:rPr>
        <w:t>kullanan tüm personelleri ve paydaşları kapsamaktadır.</w:t>
      </w:r>
    </w:p>
    <w:p w:rsidR="00A40476" w:rsidRDefault="009D4B73">
      <w:pPr>
        <w:pStyle w:val="ListeParagraf"/>
        <w:widowControl w:val="0"/>
        <w:spacing w:line="276" w:lineRule="auto"/>
        <w:ind w:left="567" w:right="-2"/>
        <w:jc w:val="both"/>
        <w:rPr>
          <w:rFonts w:ascii="Times New Roman" w:hAnsi="Times New Roman"/>
          <w:b/>
          <w:color w:val="000000"/>
          <w:sz w:val="24"/>
        </w:rPr>
      </w:pPr>
    </w:p>
    <w:p w:rsidR="00A40476" w:rsidRDefault="008930D0">
      <w:pPr>
        <w:pStyle w:val="ListeParagraf"/>
        <w:widowControl w:val="0"/>
        <w:numPr>
          <w:ilvl w:val="0"/>
          <w:numId w:val="1"/>
        </w:numPr>
        <w:spacing w:line="276" w:lineRule="auto"/>
        <w:ind w:left="567" w:right="-2"/>
        <w:contextualSpacing/>
        <w:jc w:val="both"/>
        <w:rPr>
          <w:rFonts w:ascii="Times New Roman" w:hAnsi="Times New Roman"/>
          <w:b/>
          <w:color w:val="000000"/>
          <w:sz w:val="24"/>
        </w:rPr>
      </w:pPr>
      <w:r>
        <w:rPr>
          <w:rFonts w:ascii="Times New Roman" w:hAnsi="Times New Roman"/>
          <w:b/>
          <w:color w:val="000000"/>
          <w:sz w:val="24"/>
        </w:rPr>
        <w:t>SORUMLULUKLAR</w:t>
      </w:r>
    </w:p>
    <w:p w:rsidR="00A40476" w:rsidRDefault="008930D0">
      <w:pPr>
        <w:pStyle w:val="ListeParagraf"/>
        <w:widowControl w:val="0"/>
        <w:spacing w:line="276" w:lineRule="auto"/>
        <w:ind w:right="-2" w:firstLine="567"/>
        <w:jc w:val="both"/>
        <w:rPr>
          <w:rFonts w:ascii="Times New Roman" w:hAnsi="Times New Roman"/>
          <w:b/>
          <w:color w:val="000000"/>
          <w:sz w:val="24"/>
        </w:rPr>
      </w:pPr>
      <w:r>
        <w:rPr>
          <w:rFonts w:ascii="Times New Roman" w:hAnsi="Times New Roman"/>
          <w:color w:val="000000"/>
          <w:sz w:val="24"/>
        </w:rPr>
        <w:t>Bu politikanın uygulanmasından tüm bilgi sistemleri ve bu sistemlerin işletilmesinden yetkili personel sorumludur.</w:t>
      </w:r>
    </w:p>
    <w:p w:rsidR="00A40476" w:rsidRDefault="009D4B73">
      <w:pPr>
        <w:pStyle w:val="ListeParagraf"/>
        <w:widowControl w:val="0"/>
        <w:spacing w:line="276" w:lineRule="auto"/>
        <w:ind w:left="567" w:right="-2"/>
        <w:jc w:val="both"/>
        <w:rPr>
          <w:rFonts w:ascii="Times New Roman" w:hAnsi="Times New Roman"/>
          <w:color w:val="000000"/>
          <w:sz w:val="24"/>
        </w:rPr>
      </w:pPr>
    </w:p>
    <w:p w:rsidR="00A40476" w:rsidRDefault="008930D0">
      <w:pPr>
        <w:pStyle w:val="ListeParagraf"/>
        <w:widowControl w:val="0"/>
        <w:numPr>
          <w:ilvl w:val="0"/>
          <w:numId w:val="1"/>
        </w:numPr>
        <w:spacing w:line="276" w:lineRule="auto"/>
        <w:ind w:left="567" w:right="-2"/>
        <w:contextualSpacing/>
        <w:jc w:val="both"/>
        <w:rPr>
          <w:rFonts w:ascii="Times New Roman" w:hAnsi="Times New Roman"/>
          <w:color w:val="000000"/>
          <w:sz w:val="24"/>
        </w:rPr>
      </w:pPr>
      <w:r>
        <w:rPr>
          <w:rFonts w:ascii="Times New Roman" w:hAnsi="Times New Roman"/>
          <w:b/>
          <w:color w:val="000000"/>
          <w:sz w:val="24"/>
        </w:rPr>
        <w:t>UYGULAMA</w:t>
      </w:r>
    </w:p>
    <w:p w:rsidR="00A40476" w:rsidRDefault="009D4B73">
      <w:pPr>
        <w:pStyle w:val="ListeParagraf"/>
        <w:tabs>
          <w:tab w:val="left" w:pos="993"/>
          <w:tab w:val="left" w:pos="1560"/>
        </w:tabs>
        <w:spacing w:line="276" w:lineRule="auto"/>
        <w:jc w:val="both"/>
        <w:rPr>
          <w:rFonts w:ascii="Times New Roman" w:hAnsi="Times New Roman"/>
          <w:sz w:val="24"/>
        </w:rPr>
      </w:pP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sz w:val="24"/>
        </w:rPr>
        <w:t>Kurum personeli, birim güvenlik politikalarına uymak zorundadır.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sz w:val="24"/>
        </w:rPr>
        <w:t>Güvenlik politikası, kurum web sayfasında duyurulur. Organizasyon, iş sözleşmesini imzalarken ilgili güvenlik politikasına uyulacağını taahhüt etmiş sayılır ve ayrıca kendilerine 3. Taraflarla ilgili gizlilik ve ifşa etmeme sözleşmesi imzalatılır.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Kurumda üretilen ve saklanan tüm bilgiler kuruma aittir ve bu bilgileri izleme ve denetleme hakkı kurumdadır.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Kurumun “gizli” olarak belirlediği tüm bilgiler, gizlilik koşullarına uygun olarak kullanılır. Kurumun iş gereksinimi dışında bu bilgilerin kopya edilmesi ve iletilmesi yasaktır.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Kurum personeli, kendilerine tahsis edilmiş tüm erişim yetkisi bilgilerini korumaktan sorumludur. Erişim yetkisi bilgileri herhangi birine söylenemez ve bu bilgiler başkaları ile paylaşılamaz.</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Kurum tüm personeli, kurum tarafından satın alınan lisanslı antivirüs programını kullanmaktan sorumludur. Lisanslı antivirüs programının kullanılmamasından doğacak güvenlik açıkları ve veri kaybından ilgili personel sorumludur.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Kaynağı belli olmayan ve üretici firması tarafından kopya edilmesi yasaklanmış bir bilgisayar yazılımının kullanılmaması gerekmektedir. Bu tür programların kullanımından ilgili personel sorumludur.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sz w:val="24"/>
        </w:rPr>
        <w:t>Yüklenici firmaların hiçbir çalışanı, yetkili makamlardan izin alınmaksızın kendi bilgisayarından veya herhangi bir başka kaynak kullanarak kurum bilişim ağını tarayamaz, izleyemez veya dinleyemez.</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sz w:val="24"/>
        </w:rPr>
        <w:lastRenderedPageBreak/>
        <w:t>Hiçbir personel, kurum içerisinde kendilerine tahsis edilen bilişim ürünü yetkilerinin dışına çıkamaz.</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Üniversitesi kurum adına iş yapan Yüklenici firma personeli; izin ve onay almadan kurum bilgilerini başkaları ile paylaşamaz, iç ağ ve internet üzerinden bilişim ağlarını tarayamaz ve sızma testleri gerçekleştiremez.</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6698 Sayılı Kişisel Verileri Koruma Kanunu kapsamında gerekli hukuki, teknik ve idari tedbirler alınmalıdır.</w:t>
      </w:r>
    </w:p>
    <w:p w:rsidR="00A40476" w:rsidRDefault="008930D0">
      <w:pPr>
        <w:pStyle w:val="ListeParagraf"/>
        <w:numPr>
          <w:ilvl w:val="0"/>
          <w:numId w:val="2"/>
        </w:numPr>
        <w:tabs>
          <w:tab w:val="left" w:pos="993"/>
          <w:tab w:val="left" w:pos="1560"/>
        </w:tabs>
        <w:spacing w:line="276" w:lineRule="auto"/>
        <w:jc w:val="both"/>
        <w:rPr>
          <w:rFonts w:ascii="Times New Roman" w:hAnsi="Times New Roman"/>
          <w:color w:val="000000"/>
          <w:sz w:val="24"/>
        </w:rPr>
      </w:pPr>
      <w:r>
        <w:rPr>
          <w:rFonts w:ascii="Times New Roman" w:hAnsi="Times New Roman"/>
          <w:color w:val="000000"/>
          <w:sz w:val="24"/>
        </w:rPr>
        <w:t>Organizasyon, Üniversite hizmet sözleşmesi kapsamındaki yükümlülüklerini yerine getirirken, işbu madde altında düzenlenenler ile sınırlı olmaksızın faaliyetlerine uygulandığı ölçüde 6698 sayılı Kişisel Verilerin Korunması Kanunu’nun (“KVK Kanunu”) “Veri Sorumlusu” ve “Veri İşleyen” için öngördüğü tüm yükümlülüklere uymak zorundadır.</w:t>
      </w:r>
    </w:p>
    <w:p w:rsidR="00A40476" w:rsidRDefault="008930D0" w:rsidP="00974EDA">
      <w:pPr>
        <w:pStyle w:val="ListeParagraf"/>
        <w:jc w:val="both"/>
        <w:rPr>
          <w:rFonts w:ascii="Times New Roman" w:hAnsi="Times New Roman"/>
          <w:sz w:val="24"/>
        </w:rPr>
      </w:pPr>
      <w:r>
        <w:rPr>
          <w:rFonts w:ascii="Times New Roman" w:hAnsi="Times New Roman"/>
          <w:color w:val="000000"/>
          <w:sz w:val="24"/>
        </w:rPr>
        <w:t>Organizasyon, üniversite sözleşmenin ifası sırasında veya sözleşmenin ifasıyla bağlantılı olarak Kurum hakkında öğrendiği, eriştiği veya herhangi bir şekilde elde ettiği kişisel verileri yalnızca Hizmet Sözleşmesi’nde belirtilen amaçlar doğrultusunda işleyebilecek, söz konusu kişisel verilerin hukuka aykırı işlenmesini, bu verilere hukuka aykırı erişilmesini önlemek ve söz konusu verilerin muhafazasını sağlamak amacıyla gerekli her türlü teknik, hukuki ve idari tedbiri alacaktır. İşlenen kişisel verilerin KVK Kanunu kapsamında özel nitelikli kişisel veri barındırması halinde, Yüklenici ayrıca söz konusu özel nitelikli kişisel verilerin işlenmesinde Kişisel Verileri Koruma Kurulu’nun 31.01.2018 tarihli ve 2018/10 K. No’ lu kararında belirtilen önlemleri ve Kişisel Verileri Koruma Kurulu’nun konuyla ilgili ileride yayınlayabileceği kararlarında yer vereceği önlemleri almakla yükümlüdür. Yüklenici sözleşme kapsamında elde ettiği kişisel verileri sözleşme sona ermiş olsa dahi söz konusu veriler imha edilene kadar karar maddesinde belirtildiği şekilde korumaya devam edecektir.</w:t>
      </w:r>
    </w:p>
    <w:p w:rsidR="00784C16" w:rsidRDefault="00784C16">
      <w:bookmarkStart w:id="0" w:name="_GoBack"/>
      <w:bookmarkEnd w:id="0"/>
    </w:p>
    <w:sectPr w:rsidR="00784C16" w:rsidSect="00F87694">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73" w:rsidRDefault="009D4B73" w:rsidP="002773EF">
      <w:r>
        <w:separator/>
      </w:r>
    </w:p>
  </w:endnote>
  <w:endnote w:type="continuationSeparator" w:id="0">
    <w:p w:rsidR="009D4B73" w:rsidRDefault="009D4B73"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70" w:type="pct"/>
      <w:jc w:val="center"/>
      <w:tblLook w:val="04A0" w:firstRow="1" w:lastRow="0" w:firstColumn="1" w:lastColumn="0" w:noHBand="0" w:noVBand="1"/>
    </w:tblPr>
    <w:tblGrid>
      <w:gridCol w:w="3412"/>
      <w:gridCol w:w="3416"/>
      <w:gridCol w:w="3267"/>
    </w:tblGrid>
    <w:tr w:rsidR="002773EF" w:rsidTr="00F87694">
      <w:trPr>
        <w:trHeight w:val="253"/>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F87694">
      <w:trPr>
        <w:trHeight w:val="647"/>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974EDA"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73" w:rsidRDefault="009D4B73" w:rsidP="002773EF">
      <w:r>
        <w:separator/>
      </w:r>
    </w:p>
  </w:footnote>
  <w:footnote w:type="continuationSeparator" w:id="0">
    <w:p w:rsidR="009D4B73" w:rsidRDefault="009D4B73"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60" w:type="dxa"/>
      <w:jc w:val="center"/>
      <w:tblLook w:val="04A0" w:firstRow="1" w:lastRow="0" w:firstColumn="1" w:lastColumn="0" w:noHBand="0" w:noVBand="1"/>
    </w:tblPr>
    <w:tblGrid>
      <w:gridCol w:w="1696"/>
      <w:gridCol w:w="4488"/>
      <w:gridCol w:w="1755"/>
      <w:gridCol w:w="1821"/>
    </w:tblGrid>
    <w:tr w:rsidR="002773EF" w:rsidTr="00F87694">
      <w:trPr>
        <w:trHeight w:val="344"/>
        <w:jc w:val="center"/>
      </w:trPr>
      <w:tc>
        <w:tcPr>
          <w:tcW w:w="1696"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48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Kabul Edilebilir Kullanım Politikası</w:t>
          </w:r>
        </w:p>
      </w:tc>
      <w:tc>
        <w:tcPr>
          <w:tcW w:w="1755" w:type="dxa"/>
          <w:vAlign w:val="center"/>
        </w:tcPr>
        <w:p w:rsidR="002773EF" w:rsidRPr="004272E5" w:rsidRDefault="002773EF" w:rsidP="002773EF">
          <w:pPr>
            <w:pStyle w:val="stBilgi"/>
            <w:jc w:val="center"/>
            <w:rPr>
              <w:sz w:val="22"/>
            </w:rPr>
          </w:pPr>
          <w:r>
            <w:rPr>
              <w:sz w:val="22"/>
            </w:rPr>
            <w:t>Doküman No</w:t>
          </w:r>
        </w:p>
      </w:tc>
      <w:tc>
        <w:tcPr>
          <w:tcW w:w="1821" w:type="dxa"/>
          <w:vAlign w:val="center"/>
        </w:tcPr>
        <w:p w:rsidR="002773EF" w:rsidRPr="004272E5" w:rsidRDefault="002773EF" w:rsidP="002773EF">
          <w:pPr>
            <w:pStyle w:val="stBilgi"/>
            <w:jc w:val="center"/>
            <w:rPr>
              <w:sz w:val="22"/>
            </w:rPr>
          </w:pPr>
          <w:r>
            <w:rPr>
              <w:sz w:val="22"/>
            </w:rPr>
            <w:t>PLT-012</w:t>
          </w:r>
        </w:p>
      </w:tc>
    </w:tr>
    <w:tr w:rsidR="002773EF" w:rsidTr="00F87694">
      <w:trPr>
        <w:trHeight w:val="270"/>
        <w:jc w:val="center"/>
      </w:trPr>
      <w:tc>
        <w:tcPr>
          <w:tcW w:w="1696" w:type="dxa"/>
          <w:vMerge/>
          <w:vAlign w:val="center"/>
        </w:tcPr>
        <w:p w:rsidR="002773EF" w:rsidRDefault="002773EF" w:rsidP="002773EF">
          <w:pPr>
            <w:pStyle w:val="stBilgi"/>
            <w:jc w:val="center"/>
          </w:pPr>
        </w:p>
      </w:tc>
      <w:tc>
        <w:tcPr>
          <w:tcW w:w="4488" w:type="dxa"/>
          <w:vMerge/>
          <w:vAlign w:val="center"/>
        </w:tcPr>
        <w:p w:rsidR="002773EF" w:rsidRPr="004272E5" w:rsidRDefault="002773EF" w:rsidP="002773EF">
          <w:pPr>
            <w:pStyle w:val="stBilgi"/>
            <w:jc w:val="center"/>
            <w:rPr>
              <w:sz w:val="22"/>
            </w:rPr>
          </w:pPr>
        </w:p>
      </w:tc>
      <w:tc>
        <w:tcPr>
          <w:tcW w:w="1755" w:type="dxa"/>
          <w:vAlign w:val="center"/>
        </w:tcPr>
        <w:p w:rsidR="002773EF" w:rsidRPr="004272E5" w:rsidRDefault="002773EF" w:rsidP="002773EF">
          <w:pPr>
            <w:pStyle w:val="stBilgi"/>
            <w:jc w:val="center"/>
            <w:rPr>
              <w:sz w:val="22"/>
            </w:rPr>
          </w:pPr>
          <w:r>
            <w:rPr>
              <w:sz w:val="22"/>
            </w:rPr>
            <w:t>İlk Yayın Tarihi</w:t>
          </w:r>
        </w:p>
      </w:tc>
      <w:tc>
        <w:tcPr>
          <w:tcW w:w="1821" w:type="dxa"/>
          <w:vAlign w:val="center"/>
        </w:tcPr>
        <w:p w:rsidR="002773EF" w:rsidRPr="004272E5" w:rsidRDefault="002773EF" w:rsidP="002773EF">
          <w:pPr>
            <w:pStyle w:val="stBilgi"/>
            <w:jc w:val="center"/>
            <w:rPr>
              <w:sz w:val="22"/>
            </w:rPr>
          </w:pPr>
          <w:r>
            <w:rPr>
              <w:sz w:val="22"/>
            </w:rPr>
            <w:t>22.1.2020</w:t>
          </w:r>
        </w:p>
      </w:tc>
    </w:tr>
    <w:tr w:rsidR="002773EF" w:rsidTr="00F87694">
      <w:trPr>
        <w:trHeight w:val="238"/>
        <w:jc w:val="center"/>
      </w:trPr>
      <w:tc>
        <w:tcPr>
          <w:tcW w:w="1696" w:type="dxa"/>
          <w:vMerge/>
          <w:vAlign w:val="center"/>
        </w:tcPr>
        <w:p w:rsidR="002773EF" w:rsidRDefault="002773EF" w:rsidP="002773EF">
          <w:pPr>
            <w:pStyle w:val="stBilgi"/>
            <w:jc w:val="center"/>
          </w:pPr>
        </w:p>
      </w:tc>
      <w:tc>
        <w:tcPr>
          <w:tcW w:w="4488" w:type="dxa"/>
          <w:vMerge/>
          <w:vAlign w:val="center"/>
        </w:tcPr>
        <w:p w:rsidR="002773EF" w:rsidRPr="004272E5" w:rsidRDefault="002773EF" w:rsidP="002773EF">
          <w:pPr>
            <w:pStyle w:val="stBilgi"/>
            <w:jc w:val="center"/>
            <w:rPr>
              <w:sz w:val="22"/>
            </w:rPr>
          </w:pPr>
        </w:p>
      </w:tc>
      <w:tc>
        <w:tcPr>
          <w:tcW w:w="1755" w:type="dxa"/>
          <w:vAlign w:val="center"/>
        </w:tcPr>
        <w:p w:rsidR="002773EF" w:rsidRPr="004272E5" w:rsidRDefault="002773EF" w:rsidP="002773EF">
          <w:pPr>
            <w:pStyle w:val="stBilgi"/>
            <w:jc w:val="center"/>
            <w:rPr>
              <w:sz w:val="22"/>
            </w:rPr>
          </w:pPr>
          <w:r>
            <w:rPr>
              <w:sz w:val="22"/>
            </w:rPr>
            <w:t>Revizyon Tarihi</w:t>
          </w:r>
        </w:p>
      </w:tc>
      <w:tc>
        <w:tcPr>
          <w:tcW w:w="1821" w:type="dxa"/>
          <w:vAlign w:val="center"/>
        </w:tcPr>
        <w:p w:rsidR="002773EF" w:rsidRPr="004272E5" w:rsidRDefault="002773EF" w:rsidP="002773EF">
          <w:pPr>
            <w:pStyle w:val="stBilgi"/>
            <w:jc w:val="center"/>
            <w:rPr>
              <w:sz w:val="22"/>
            </w:rPr>
          </w:pPr>
          <w:r>
            <w:rPr>
              <w:sz w:val="22"/>
            </w:rPr>
            <w:t>22.1.2020</w:t>
          </w:r>
        </w:p>
      </w:tc>
    </w:tr>
    <w:tr w:rsidR="002773EF" w:rsidTr="00F87694">
      <w:trPr>
        <w:trHeight w:val="336"/>
        <w:jc w:val="center"/>
      </w:trPr>
      <w:tc>
        <w:tcPr>
          <w:tcW w:w="1696" w:type="dxa"/>
          <w:vMerge/>
          <w:vAlign w:val="center"/>
        </w:tcPr>
        <w:p w:rsidR="002773EF" w:rsidRDefault="002773EF" w:rsidP="002773EF">
          <w:pPr>
            <w:pStyle w:val="stBilgi"/>
            <w:jc w:val="center"/>
          </w:pPr>
        </w:p>
      </w:tc>
      <w:tc>
        <w:tcPr>
          <w:tcW w:w="4488" w:type="dxa"/>
          <w:vMerge/>
          <w:vAlign w:val="center"/>
        </w:tcPr>
        <w:p w:rsidR="002773EF" w:rsidRPr="004272E5" w:rsidRDefault="002773EF" w:rsidP="002773EF">
          <w:pPr>
            <w:pStyle w:val="stBilgi"/>
            <w:jc w:val="center"/>
            <w:rPr>
              <w:sz w:val="22"/>
            </w:rPr>
          </w:pPr>
        </w:p>
      </w:tc>
      <w:tc>
        <w:tcPr>
          <w:tcW w:w="1755" w:type="dxa"/>
          <w:vAlign w:val="center"/>
        </w:tcPr>
        <w:p w:rsidR="002773EF" w:rsidRDefault="002773EF" w:rsidP="002773EF">
          <w:pPr>
            <w:pStyle w:val="stBilgi"/>
            <w:jc w:val="center"/>
            <w:rPr>
              <w:sz w:val="22"/>
            </w:rPr>
          </w:pPr>
          <w:r>
            <w:rPr>
              <w:sz w:val="22"/>
            </w:rPr>
            <w:t>Revizyon No</w:t>
          </w:r>
        </w:p>
      </w:tc>
      <w:tc>
        <w:tcPr>
          <w:tcW w:w="1821" w:type="dxa"/>
          <w:vAlign w:val="center"/>
        </w:tcPr>
        <w:p w:rsidR="002773EF" w:rsidRDefault="002773EF" w:rsidP="002773EF">
          <w:pPr>
            <w:pStyle w:val="stBilgi"/>
            <w:jc w:val="center"/>
            <w:rPr>
              <w:sz w:val="22"/>
            </w:rPr>
          </w:pPr>
          <w:r>
            <w:rPr>
              <w:sz w:val="22"/>
            </w:rPr>
            <w:t>000</w:t>
          </w:r>
        </w:p>
      </w:tc>
    </w:tr>
    <w:tr w:rsidR="002773EF" w:rsidTr="00F87694">
      <w:trPr>
        <w:trHeight w:val="211"/>
        <w:jc w:val="center"/>
      </w:trPr>
      <w:tc>
        <w:tcPr>
          <w:tcW w:w="1696" w:type="dxa"/>
          <w:vMerge/>
          <w:vAlign w:val="center"/>
        </w:tcPr>
        <w:p w:rsidR="002773EF" w:rsidRDefault="002773EF" w:rsidP="002773EF">
          <w:pPr>
            <w:pStyle w:val="stBilgi"/>
            <w:jc w:val="center"/>
          </w:pPr>
        </w:p>
      </w:tc>
      <w:tc>
        <w:tcPr>
          <w:tcW w:w="4488" w:type="dxa"/>
          <w:vMerge/>
          <w:vAlign w:val="center"/>
        </w:tcPr>
        <w:p w:rsidR="002773EF" w:rsidRPr="004272E5" w:rsidRDefault="002773EF" w:rsidP="002773EF">
          <w:pPr>
            <w:pStyle w:val="stBilgi"/>
            <w:jc w:val="center"/>
            <w:rPr>
              <w:sz w:val="22"/>
            </w:rPr>
          </w:pPr>
        </w:p>
      </w:tc>
      <w:tc>
        <w:tcPr>
          <w:tcW w:w="1755" w:type="dxa"/>
          <w:vAlign w:val="center"/>
        </w:tcPr>
        <w:p w:rsidR="002773EF" w:rsidRPr="004272E5" w:rsidRDefault="002773EF" w:rsidP="002773EF">
          <w:pPr>
            <w:pStyle w:val="stBilgi"/>
            <w:jc w:val="center"/>
            <w:rPr>
              <w:sz w:val="22"/>
            </w:rPr>
          </w:pPr>
          <w:r>
            <w:rPr>
              <w:sz w:val="22"/>
            </w:rPr>
            <w:t>Sayfa No</w:t>
          </w:r>
        </w:p>
      </w:tc>
      <w:tc>
        <w:tcPr>
          <w:tcW w:w="1821" w:type="dxa"/>
          <w:vAlign w:val="center"/>
        </w:tcPr>
        <w:p w:rsidR="002773EF" w:rsidRPr="004272E5" w:rsidRDefault="00F87694"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974EDA">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74EDA">
            <w:rPr>
              <w:noProof/>
              <w:color w:val="000000"/>
              <w:sz w:val="18"/>
              <w:szCs w:val="18"/>
            </w:rPr>
            <w:t>2</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741144"/>
    <w:lvl w:ilvl="0" w:tplc="16D0AB1E">
      <w:start w:val="1"/>
      <w:numFmt w:val="decimal"/>
      <w:lvlText w:val="%1."/>
      <w:lvlJc w:val="left"/>
      <w:pPr>
        <w:spacing w:line="240" w:lineRule="auto"/>
        <w:ind w:left="720" w:hanging="360"/>
      </w:pPr>
      <w:rPr>
        <w:rFonts w:ascii="Times New Roman" w:hAnsi="Times New Roman"/>
        <w:b/>
        <w:sz w:val="22"/>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 w15:restartNumberingAfterBreak="0">
    <w:nsid w:val="00000002"/>
    <w:multiLevelType w:val="hybridMultilevel"/>
    <w:tmpl w:val="CA329122"/>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71309F"/>
    <w:rsid w:val="00784C16"/>
    <w:rsid w:val="007A4C74"/>
    <w:rsid w:val="008930D0"/>
    <w:rsid w:val="008A02C2"/>
    <w:rsid w:val="00943670"/>
    <w:rsid w:val="00974EDA"/>
    <w:rsid w:val="009D4B73"/>
    <w:rsid w:val="00A50C3A"/>
    <w:rsid w:val="00F87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2022-10-28T06:57:00Z</cp:lastPrinted>
  <dcterms:created xsi:type="dcterms:W3CDTF">2021-02-15T20:27:00Z</dcterms:created>
  <dcterms:modified xsi:type="dcterms:W3CDTF">2023-10-31T13:37:00Z</dcterms:modified>
</cp:coreProperties>
</file>