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d0725559-ef0b-4d2f-acde-f296d05c5003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Antivirüs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PLT-014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d0725559-ef0b-4d2f-acde-f296d05c500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