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5b4e3054-d11d-421e-90fd-51c595735b95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Memur - Eray YALÇIN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Mühendis - Nurdan FİLİK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Yapı İşleri ve Teknik Dairesi Başkanı - Yasemin İLHAN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Yapı İşleri ve Teknik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EnYS OPERASYONEL KONTROL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5b4e3054-d11d-421e-90fd-51c595735b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