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670" w:rsidRPr="00573E48" w:rsidRDefault="00943670"/>
    <w:p w:rsidR="006F2E96" w:rsidRDefault="00DC449A">
      <w:pPr>
        <w:pStyle w:val="ListeParagraf"/>
        <w:numPr>
          <w:ilvl w:val="0"/>
          <w:numId w:val="1"/>
        </w:numPr>
        <w:spacing w:line="276" w:lineRule="auto"/>
        <w:ind w:left="720"/>
        <w:jc w:val="both"/>
        <w:rPr>
          <w:rFonts w:ascii="Times New Roman" w:hAnsi="Times New Roman"/>
          <w:b/>
          <w:sz w:val="24"/>
        </w:rPr>
      </w:pPr>
      <w:r>
        <w:rPr>
          <w:rFonts w:ascii="Times New Roman" w:hAnsi="Times New Roman"/>
          <w:b/>
          <w:sz w:val="24"/>
        </w:rPr>
        <w:t>AMAÇ</w:t>
      </w:r>
    </w:p>
    <w:p w:rsidR="006F2E96" w:rsidRDefault="00DC449A">
      <w:pPr>
        <w:pStyle w:val="ListeParagraf"/>
        <w:spacing w:line="276" w:lineRule="auto"/>
        <w:ind w:firstLine="360"/>
        <w:jc w:val="both"/>
        <w:rPr>
          <w:rFonts w:ascii="Times New Roman" w:hAnsi="Times New Roman"/>
          <w:sz w:val="24"/>
        </w:rPr>
      </w:pPr>
      <w:r>
        <w:rPr>
          <w:rFonts w:ascii="Times New Roman" w:hAnsi="Times New Roman"/>
          <w:sz w:val="24"/>
        </w:rPr>
        <w:t xml:space="preserve">Bu prosedürün amacı, EYS sistemlerinin ilgili standart ve yasal şartlara uygun olup olmadığının saptanması, uygun çalışılıp çalışılmadığının teyidi, etkinliğinin incelenmesi, sürekli iyileştirilmesi için şartların belirlenmesi, sistematik ve tarafsız kanıt toplanmasına yönelik iç tetkiklerin planlanması, gerçekleştirilmesi, raporlanması ve uygunsuzların giderilmesi için yöntem, yetki ve sorumlulukları tanımlamaktır.  </w:t>
      </w:r>
    </w:p>
    <w:p w:rsidR="006F2E96" w:rsidRDefault="000A4476">
      <w:pPr>
        <w:pStyle w:val="ListeParagraf"/>
        <w:spacing w:line="276" w:lineRule="auto"/>
        <w:jc w:val="both"/>
        <w:rPr>
          <w:rFonts w:ascii="Times New Roman" w:hAnsi="Times New Roman"/>
          <w:sz w:val="24"/>
        </w:rPr>
      </w:pPr>
    </w:p>
    <w:p w:rsidR="006F2E96" w:rsidRDefault="00DC449A">
      <w:pPr>
        <w:pStyle w:val="ListeParagraf"/>
        <w:numPr>
          <w:ilvl w:val="0"/>
          <w:numId w:val="1"/>
        </w:numPr>
        <w:spacing w:line="276" w:lineRule="auto"/>
        <w:ind w:left="720"/>
        <w:jc w:val="both"/>
        <w:rPr>
          <w:rFonts w:ascii="Times New Roman" w:hAnsi="Times New Roman"/>
          <w:b/>
          <w:sz w:val="24"/>
        </w:rPr>
      </w:pPr>
      <w:r>
        <w:rPr>
          <w:rFonts w:ascii="Times New Roman" w:hAnsi="Times New Roman"/>
          <w:b/>
          <w:sz w:val="24"/>
        </w:rPr>
        <w:t>KAPSAM</w:t>
      </w:r>
    </w:p>
    <w:p w:rsidR="006F2E96" w:rsidRDefault="00DC449A">
      <w:pPr>
        <w:pStyle w:val="ListeParagraf"/>
        <w:spacing w:line="276" w:lineRule="auto"/>
        <w:ind w:firstLine="360"/>
        <w:jc w:val="both"/>
        <w:rPr>
          <w:rFonts w:ascii="Times New Roman" w:hAnsi="Times New Roman"/>
          <w:sz w:val="24"/>
        </w:rPr>
      </w:pPr>
      <w:r>
        <w:rPr>
          <w:rFonts w:ascii="Times New Roman" w:hAnsi="Times New Roman"/>
          <w:sz w:val="24"/>
        </w:rPr>
        <w:t>Bu prosedür; Süleyman Demirel Üniversitesi Daire Başkanlıklarının birimlerini ve süreçleri kapsar.</w:t>
      </w:r>
    </w:p>
    <w:p w:rsidR="006F2E96" w:rsidRDefault="000A4476">
      <w:pPr>
        <w:pStyle w:val="ListeParagraf"/>
        <w:spacing w:line="276" w:lineRule="auto"/>
        <w:jc w:val="both"/>
        <w:rPr>
          <w:rFonts w:ascii="Times New Roman" w:hAnsi="Times New Roman"/>
          <w:sz w:val="24"/>
        </w:rPr>
      </w:pPr>
    </w:p>
    <w:p w:rsidR="006F2E96" w:rsidRDefault="00DC449A">
      <w:pPr>
        <w:pStyle w:val="ListeParagraf"/>
        <w:numPr>
          <w:ilvl w:val="0"/>
          <w:numId w:val="1"/>
        </w:numPr>
        <w:spacing w:line="276" w:lineRule="auto"/>
        <w:ind w:left="720"/>
        <w:jc w:val="both"/>
        <w:rPr>
          <w:rFonts w:ascii="Times New Roman" w:hAnsi="Times New Roman"/>
          <w:i/>
          <w:sz w:val="24"/>
        </w:rPr>
      </w:pPr>
      <w:r>
        <w:rPr>
          <w:rFonts w:ascii="Times New Roman" w:hAnsi="Times New Roman"/>
          <w:b/>
          <w:sz w:val="24"/>
        </w:rPr>
        <w:t>TANIMLAR</w:t>
      </w:r>
    </w:p>
    <w:p w:rsidR="006F2E96" w:rsidRDefault="00DC449A">
      <w:pPr>
        <w:pStyle w:val="ListeParagraf"/>
        <w:numPr>
          <w:ilvl w:val="1"/>
          <w:numId w:val="1"/>
        </w:numPr>
        <w:spacing w:line="276" w:lineRule="auto"/>
        <w:contextualSpacing/>
        <w:jc w:val="both"/>
        <w:rPr>
          <w:rFonts w:ascii="Times New Roman" w:hAnsi="Times New Roman"/>
          <w:b/>
          <w:i/>
          <w:sz w:val="24"/>
        </w:rPr>
      </w:pPr>
      <w:r>
        <w:rPr>
          <w:rFonts w:ascii="Times New Roman" w:hAnsi="Times New Roman"/>
          <w:b/>
          <w:i/>
          <w:sz w:val="24"/>
        </w:rPr>
        <w:t>EYS: Entegre Yöne</w:t>
      </w:r>
      <w:r w:rsidR="007E30C4">
        <w:rPr>
          <w:rFonts w:ascii="Times New Roman" w:hAnsi="Times New Roman"/>
          <w:b/>
          <w:i/>
          <w:sz w:val="24"/>
        </w:rPr>
        <w:t xml:space="preserve">tim Sistemi ( BGYS, KYS, HYS, </w:t>
      </w:r>
      <w:r>
        <w:rPr>
          <w:rFonts w:ascii="Times New Roman" w:hAnsi="Times New Roman"/>
          <w:b/>
          <w:i/>
          <w:sz w:val="24"/>
        </w:rPr>
        <w:t>İSYS</w:t>
      </w:r>
      <w:r w:rsidR="009E00FB">
        <w:rPr>
          <w:rFonts w:ascii="Times New Roman" w:hAnsi="Times New Roman"/>
          <w:b/>
          <w:i/>
          <w:sz w:val="24"/>
        </w:rPr>
        <w:t xml:space="preserve">, </w:t>
      </w:r>
      <w:r w:rsidR="007E30C4">
        <w:rPr>
          <w:rFonts w:ascii="Times New Roman" w:hAnsi="Times New Roman"/>
          <w:b/>
          <w:i/>
          <w:sz w:val="24"/>
        </w:rPr>
        <w:t>KVYS</w:t>
      </w:r>
      <w:r w:rsidR="009E00FB">
        <w:rPr>
          <w:rFonts w:ascii="Times New Roman" w:hAnsi="Times New Roman"/>
          <w:b/>
          <w:i/>
          <w:sz w:val="24"/>
        </w:rPr>
        <w:t xml:space="preserve"> ve </w:t>
      </w:r>
      <w:proofErr w:type="spellStart"/>
      <w:r w:rsidR="009E00FB">
        <w:rPr>
          <w:rFonts w:ascii="Times New Roman" w:hAnsi="Times New Roman"/>
          <w:b/>
          <w:i/>
          <w:sz w:val="24"/>
        </w:rPr>
        <w:t>EnYS</w:t>
      </w:r>
      <w:proofErr w:type="spellEnd"/>
      <w:r>
        <w:rPr>
          <w:rFonts w:ascii="Times New Roman" w:hAnsi="Times New Roman"/>
          <w:b/>
          <w:i/>
          <w:sz w:val="24"/>
        </w:rPr>
        <w:t>)</w:t>
      </w:r>
    </w:p>
    <w:p w:rsidR="006F2E96" w:rsidRDefault="00DC449A">
      <w:pPr>
        <w:pStyle w:val="ListeParagraf"/>
        <w:numPr>
          <w:ilvl w:val="1"/>
          <w:numId w:val="1"/>
        </w:numPr>
        <w:spacing w:line="276" w:lineRule="auto"/>
        <w:contextualSpacing/>
        <w:jc w:val="both"/>
        <w:rPr>
          <w:rFonts w:ascii="Times New Roman" w:hAnsi="Times New Roman"/>
          <w:b/>
          <w:i/>
          <w:sz w:val="24"/>
        </w:rPr>
      </w:pPr>
      <w:r>
        <w:rPr>
          <w:rFonts w:ascii="Times New Roman" w:hAnsi="Times New Roman"/>
          <w:b/>
          <w:i/>
          <w:sz w:val="24"/>
        </w:rPr>
        <w:t>Tetkik</w:t>
      </w:r>
      <w:r>
        <w:rPr>
          <w:rFonts w:ascii="Times New Roman" w:hAnsi="Times New Roman"/>
          <w:i/>
          <w:sz w:val="24"/>
        </w:rPr>
        <w:t>:</w:t>
      </w:r>
      <w:r>
        <w:rPr>
          <w:rFonts w:ascii="Times New Roman" w:hAnsi="Times New Roman"/>
          <w:sz w:val="24"/>
        </w:rPr>
        <w:t xml:space="preserve"> Kalite ile ilgili faaliyetlerin, sonuçların planlanan düzenlemelere uyup uymadığının, bu düzenlemelerin amaca ulaşmak için uygun olup olmadığının, bu düzenlemelerin etkin olarak uygulanıp uygulanmadığının sistematik, tarafsız olarak dokümanlara ve beyanlara dayanılarak incelenmesidir. </w:t>
      </w:r>
    </w:p>
    <w:p w:rsidR="006F2E96" w:rsidRDefault="00DC449A">
      <w:pPr>
        <w:pStyle w:val="ListeParagraf"/>
        <w:numPr>
          <w:ilvl w:val="1"/>
          <w:numId w:val="1"/>
        </w:numPr>
        <w:spacing w:line="276" w:lineRule="auto"/>
        <w:contextualSpacing/>
        <w:jc w:val="both"/>
        <w:rPr>
          <w:rFonts w:ascii="Times New Roman" w:hAnsi="Times New Roman"/>
          <w:b/>
          <w:i/>
          <w:sz w:val="24"/>
        </w:rPr>
      </w:pPr>
      <w:r>
        <w:rPr>
          <w:rFonts w:ascii="Times New Roman" w:hAnsi="Times New Roman"/>
          <w:b/>
          <w:i/>
          <w:sz w:val="24"/>
        </w:rPr>
        <w:t>İç Tetkikçi</w:t>
      </w:r>
      <w:r>
        <w:rPr>
          <w:rFonts w:ascii="Times New Roman" w:hAnsi="Times New Roman"/>
          <w:sz w:val="24"/>
        </w:rPr>
        <w:t xml:space="preserve">: Tetkiki gerçekleştirebilecek niteliklere sahip kurum içi personeldir. </w:t>
      </w:r>
    </w:p>
    <w:p w:rsidR="006F2E96" w:rsidRDefault="00DC449A">
      <w:pPr>
        <w:pStyle w:val="ListeParagraf"/>
        <w:numPr>
          <w:ilvl w:val="1"/>
          <w:numId w:val="1"/>
        </w:numPr>
        <w:spacing w:line="276" w:lineRule="auto"/>
        <w:contextualSpacing/>
        <w:jc w:val="both"/>
        <w:rPr>
          <w:rFonts w:ascii="Times New Roman" w:hAnsi="Times New Roman"/>
          <w:b/>
          <w:i/>
          <w:sz w:val="24"/>
        </w:rPr>
      </w:pPr>
      <w:r>
        <w:rPr>
          <w:rFonts w:ascii="Times New Roman" w:hAnsi="Times New Roman"/>
          <w:b/>
          <w:i/>
          <w:sz w:val="24"/>
        </w:rPr>
        <w:t>Baş Tetkikçi</w:t>
      </w:r>
      <w:r>
        <w:rPr>
          <w:rFonts w:ascii="Times New Roman" w:hAnsi="Times New Roman"/>
          <w:i/>
          <w:sz w:val="24"/>
        </w:rPr>
        <w:t>:</w:t>
      </w:r>
      <w:r>
        <w:rPr>
          <w:rFonts w:ascii="Times New Roman" w:hAnsi="Times New Roman"/>
          <w:sz w:val="24"/>
        </w:rPr>
        <w:t xml:space="preserve"> İç tetkikçi niteliklerine sahip tetkik ekibinin çalışmalarında ekip başı olarak görevlendirilen kurum içi personeldir.</w:t>
      </w:r>
    </w:p>
    <w:p w:rsidR="006F2E96" w:rsidRDefault="00DC449A">
      <w:pPr>
        <w:pStyle w:val="ListeParagraf"/>
        <w:numPr>
          <w:ilvl w:val="1"/>
          <w:numId w:val="1"/>
        </w:numPr>
        <w:spacing w:line="276" w:lineRule="auto"/>
        <w:contextualSpacing/>
        <w:jc w:val="both"/>
        <w:rPr>
          <w:rFonts w:ascii="Times New Roman" w:hAnsi="Times New Roman"/>
          <w:b/>
          <w:i/>
          <w:sz w:val="24"/>
        </w:rPr>
      </w:pPr>
      <w:r>
        <w:rPr>
          <w:rFonts w:ascii="Times New Roman" w:hAnsi="Times New Roman"/>
          <w:b/>
          <w:i/>
          <w:sz w:val="24"/>
        </w:rPr>
        <w:t>KYS</w:t>
      </w:r>
      <w:r>
        <w:rPr>
          <w:rFonts w:ascii="Times New Roman" w:hAnsi="Times New Roman"/>
          <w:sz w:val="24"/>
        </w:rPr>
        <w:t>: Kalite Yönetim Sistemi</w:t>
      </w:r>
    </w:p>
    <w:p w:rsidR="006F2E96" w:rsidRDefault="00DC449A">
      <w:pPr>
        <w:pStyle w:val="ListeParagraf"/>
        <w:numPr>
          <w:ilvl w:val="1"/>
          <w:numId w:val="1"/>
        </w:numPr>
        <w:spacing w:line="276" w:lineRule="auto"/>
        <w:contextualSpacing/>
        <w:jc w:val="both"/>
        <w:rPr>
          <w:rFonts w:ascii="Times New Roman" w:hAnsi="Times New Roman"/>
          <w:b/>
          <w:i/>
          <w:sz w:val="24"/>
        </w:rPr>
      </w:pPr>
      <w:r>
        <w:rPr>
          <w:rFonts w:ascii="Times New Roman" w:hAnsi="Times New Roman"/>
          <w:b/>
          <w:i/>
          <w:sz w:val="24"/>
        </w:rPr>
        <w:t>İç Tetkik</w:t>
      </w:r>
      <w:r>
        <w:rPr>
          <w:rFonts w:ascii="Times New Roman" w:hAnsi="Times New Roman"/>
          <w:i/>
          <w:sz w:val="24"/>
        </w:rPr>
        <w:t>:</w:t>
      </w:r>
      <w:r>
        <w:rPr>
          <w:rFonts w:ascii="Times New Roman" w:hAnsi="Times New Roman"/>
          <w:sz w:val="24"/>
        </w:rPr>
        <w:t xml:space="preserve">   Kalite Yönetim Sistemi’nin etkinliği ve yeterliliğinin gözlenmesi amacı ile Kalite Koordinatörlüğünün görevlendirdiği kişi ya da kişiler tarafından yapılan tetkiklerdir. İç Tetkikler, her süreç için bir tetkik ekibi tarafından süreçler bazında ve süreç sorumlusunun da katılımıyla gerçekleştirilir.</w:t>
      </w:r>
    </w:p>
    <w:p w:rsidR="006F2E96" w:rsidRDefault="00DC449A">
      <w:pPr>
        <w:pStyle w:val="ListeParagraf"/>
        <w:numPr>
          <w:ilvl w:val="1"/>
          <w:numId w:val="1"/>
        </w:numPr>
        <w:spacing w:line="276" w:lineRule="auto"/>
        <w:contextualSpacing/>
        <w:jc w:val="both"/>
        <w:rPr>
          <w:rFonts w:ascii="Times New Roman" w:hAnsi="Times New Roman"/>
          <w:b/>
          <w:i/>
          <w:sz w:val="24"/>
        </w:rPr>
      </w:pPr>
      <w:r>
        <w:rPr>
          <w:rFonts w:ascii="Times New Roman" w:hAnsi="Times New Roman"/>
          <w:b/>
          <w:i/>
          <w:sz w:val="24"/>
        </w:rPr>
        <w:t>Takip Tetkiki</w:t>
      </w:r>
      <w:r>
        <w:rPr>
          <w:rFonts w:ascii="Times New Roman" w:hAnsi="Times New Roman"/>
          <w:i/>
          <w:sz w:val="24"/>
        </w:rPr>
        <w:t>:</w:t>
      </w:r>
      <w:r>
        <w:rPr>
          <w:rFonts w:ascii="Times New Roman" w:hAnsi="Times New Roman"/>
          <w:sz w:val="24"/>
        </w:rPr>
        <w:t xml:space="preserve"> İç tetkik sonrası belirlenen düzeltici ve iyileştirici faaliyetlerin tamamlanma tarihinden sonra iç tetkikçi tarafından yapılan tetkiktir.</w:t>
      </w:r>
    </w:p>
    <w:p w:rsidR="006F2E96" w:rsidRDefault="00DC449A">
      <w:pPr>
        <w:pStyle w:val="ListeParagraf"/>
        <w:numPr>
          <w:ilvl w:val="1"/>
          <w:numId w:val="1"/>
        </w:numPr>
        <w:spacing w:line="276" w:lineRule="auto"/>
        <w:contextualSpacing/>
        <w:jc w:val="both"/>
        <w:rPr>
          <w:rFonts w:ascii="Times New Roman" w:hAnsi="Times New Roman"/>
          <w:b/>
          <w:i/>
          <w:sz w:val="24"/>
        </w:rPr>
      </w:pPr>
      <w:r>
        <w:rPr>
          <w:rFonts w:ascii="Times New Roman" w:hAnsi="Times New Roman"/>
          <w:b/>
          <w:i/>
          <w:sz w:val="24"/>
        </w:rPr>
        <w:t>Dış Tetkik</w:t>
      </w:r>
      <w:r>
        <w:rPr>
          <w:rFonts w:ascii="Times New Roman" w:hAnsi="Times New Roman"/>
          <w:sz w:val="24"/>
        </w:rPr>
        <w:t>: Bağımsız bir belgelendirme kuruluşu tarafından yapılan tetkiktir.</w:t>
      </w:r>
    </w:p>
    <w:p w:rsidR="006F2E96" w:rsidRDefault="00DC449A">
      <w:pPr>
        <w:pStyle w:val="ListeParagraf"/>
        <w:numPr>
          <w:ilvl w:val="1"/>
          <w:numId w:val="1"/>
        </w:numPr>
        <w:spacing w:line="276" w:lineRule="auto"/>
        <w:contextualSpacing/>
        <w:jc w:val="both"/>
        <w:rPr>
          <w:rFonts w:ascii="Times New Roman" w:hAnsi="Times New Roman"/>
          <w:b/>
          <w:i/>
          <w:sz w:val="24"/>
        </w:rPr>
      </w:pPr>
      <w:r>
        <w:rPr>
          <w:rFonts w:ascii="Times New Roman" w:hAnsi="Times New Roman"/>
          <w:b/>
          <w:i/>
          <w:sz w:val="24"/>
        </w:rPr>
        <w:t>Denetçi</w:t>
      </w:r>
      <w:r>
        <w:rPr>
          <w:rFonts w:ascii="Times New Roman" w:hAnsi="Times New Roman"/>
          <w:sz w:val="24"/>
        </w:rPr>
        <w:t>: Bir kalite sistem denetiminin tümünün ya da bir kısmının uygunluğunun değerlendirilmesinde görev alabilecek nitelikte ve yetenekteki kişi.</w:t>
      </w:r>
    </w:p>
    <w:p w:rsidR="006F2E96" w:rsidRDefault="00DC449A">
      <w:pPr>
        <w:pStyle w:val="ListeParagraf"/>
        <w:numPr>
          <w:ilvl w:val="1"/>
          <w:numId w:val="1"/>
        </w:numPr>
        <w:tabs>
          <w:tab w:val="left" w:pos="851"/>
        </w:tabs>
        <w:spacing w:line="276" w:lineRule="auto"/>
        <w:ind w:left="567" w:hanging="207"/>
        <w:contextualSpacing/>
        <w:jc w:val="both"/>
        <w:rPr>
          <w:rFonts w:ascii="Times New Roman" w:hAnsi="Times New Roman"/>
          <w:b/>
          <w:i/>
          <w:sz w:val="24"/>
        </w:rPr>
      </w:pPr>
      <w:r>
        <w:rPr>
          <w:rFonts w:ascii="Times New Roman" w:hAnsi="Times New Roman"/>
          <w:b/>
          <w:i/>
          <w:sz w:val="24"/>
        </w:rPr>
        <w:t>Katılım Tutanağı</w:t>
      </w:r>
      <w:r>
        <w:rPr>
          <w:rFonts w:ascii="Times New Roman" w:hAnsi="Times New Roman"/>
          <w:sz w:val="24"/>
        </w:rPr>
        <w:t>: İç denetim sırasında açılış ve kapanış toplantılarına katılan kişilerin isim, görev ve katılımı ispatlayan imzalarının kaydedildiği tutanak.</w:t>
      </w:r>
    </w:p>
    <w:p w:rsidR="006F2E96" w:rsidRDefault="00DC449A">
      <w:pPr>
        <w:pStyle w:val="ListeParagraf"/>
        <w:numPr>
          <w:ilvl w:val="1"/>
          <w:numId w:val="1"/>
        </w:numPr>
        <w:tabs>
          <w:tab w:val="left" w:pos="851"/>
        </w:tabs>
        <w:spacing w:line="276" w:lineRule="auto"/>
        <w:ind w:left="567" w:hanging="207"/>
        <w:contextualSpacing/>
        <w:jc w:val="both"/>
        <w:rPr>
          <w:rFonts w:ascii="Times New Roman" w:hAnsi="Times New Roman"/>
          <w:b/>
          <w:i/>
          <w:sz w:val="24"/>
        </w:rPr>
      </w:pPr>
      <w:r>
        <w:rPr>
          <w:rFonts w:ascii="Times New Roman" w:hAnsi="Times New Roman"/>
          <w:b/>
          <w:i/>
          <w:sz w:val="24"/>
        </w:rPr>
        <w:t>Majör Hata</w:t>
      </w:r>
      <w:r>
        <w:rPr>
          <w:rFonts w:ascii="Times New Roman" w:hAnsi="Times New Roman"/>
          <w:i/>
          <w:sz w:val="24"/>
        </w:rPr>
        <w:t>:</w:t>
      </w:r>
      <w:r>
        <w:rPr>
          <w:rFonts w:ascii="Times New Roman" w:hAnsi="Times New Roman"/>
          <w:sz w:val="24"/>
        </w:rPr>
        <w:t xml:space="preserve"> Standardın herhangi bir maddesinin tamamen uygulanmadığı durumların objektif kanıtlar ile ispatı halinde yazılması gereken bulgu türüdür. Ancak aynı maddeden birden çok minör hata durumu var ise bu durum da majör bulguya dönüşebilir.</w:t>
      </w:r>
    </w:p>
    <w:p w:rsidR="006F2E96" w:rsidRDefault="00DC449A">
      <w:pPr>
        <w:pStyle w:val="ListeParagraf"/>
        <w:numPr>
          <w:ilvl w:val="1"/>
          <w:numId w:val="1"/>
        </w:numPr>
        <w:tabs>
          <w:tab w:val="left" w:pos="851"/>
        </w:tabs>
        <w:spacing w:line="276" w:lineRule="auto"/>
        <w:ind w:left="567" w:hanging="207"/>
        <w:contextualSpacing/>
        <w:jc w:val="both"/>
        <w:rPr>
          <w:rFonts w:ascii="Times New Roman" w:hAnsi="Times New Roman"/>
          <w:b/>
          <w:i/>
          <w:sz w:val="24"/>
        </w:rPr>
      </w:pPr>
      <w:r>
        <w:rPr>
          <w:rFonts w:ascii="Times New Roman" w:hAnsi="Times New Roman"/>
          <w:b/>
          <w:i/>
          <w:sz w:val="24"/>
        </w:rPr>
        <w:t>Minör Hata</w:t>
      </w:r>
      <w:r>
        <w:rPr>
          <w:rFonts w:ascii="Times New Roman" w:hAnsi="Times New Roman"/>
          <w:sz w:val="24"/>
        </w:rPr>
        <w:t xml:space="preserve">: Standardın herhangi bir maddesinin uygulamalar esnasında aksatılması ya da gerçekleştirilen bazı uygulamaların standart olarak yazılı getirilmemesi durumunda </w:t>
      </w:r>
      <w:r>
        <w:rPr>
          <w:rFonts w:ascii="Times New Roman" w:hAnsi="Times New Roman"/>
          <w:sz w:val="24"/>
        </w:rPr>
        <w:lastRenderedPageBreak/>
        <w:t>objektif kanıtlarla ispatlanması gereken bulgu türüdür. ‘’Yazılmış bir eylemin yapılmaması ya da yapılmış bir eylemin yazılmaması’’ durumudur.</w:t>
      </w:r>
    </w:p>
    <w:p w:rsidR="006F2E96" w:rsidRDefault="00DC449A">
      <w:pPr>
        <w:pStyle w:val="ListeParagraf"/>
        <w:numPr>
          <w:ilvl w:val="1"/>
          <w:numId w:val="1"/>
        </w:numPr>
        <w:tabs>
          <w:tab w:val="left" w:pos="851"/>
        </w:tabs>
        <w:spacing w:line="276" w:lineRule="auto"/>
        <w:ind w:left="567" w:hanging="207"/>
        <w:contextualSpacing/>
        <w:jc w:val="both"/>
        <w:rPr>
          <w:rFonts w:ascii="Times New Roman" w:hAnsi="Times New Roman"/>
          <w:b/>
          <w:i/>
          <w:sz w:val="24"/>
        </w:rPr>
      </w:pPr>
      <w:r>
        <w:rPr>
          <w:rFonts w:ascii="Times New Roman" w:hAnsi="Times New Roman"/>
          <w:b/>
          <w:i/>
          <w:sz w:val="24"/>
        </w:rPr>
        <w:t>EBYS</w:t>
      </w:r>
      <w:r>
        <w:rPr>
          <w:rFonts w:ascii="Times New Roman" w:hAnsi="Times New Roman"/>
          <w:i/>
          <w:sz w:val="24"/>
        </w:rPr>
        <w:t xml:space="preserve">: </w:t>
      </w:r>
      <w:r>
        <w:rPr>
          <w:rFonts w:ascii="Times New Roman" w:hAnsi="Times New Roman"/>
          <w:sz w:val="24"/>
        </w:rPr>
        <w:t>Elektronik Belge Yönetim sistemi</w:t>
      </w:r>
    </w:p>
    <w:p w:rsidR="006F2E96" w:rsidRDefault="000A4476">
      <w:pPr>
        <w:pStyle w:val="ListeParagraf"/>
        <w:spacing w:line="276" w:lineRule="auto"/>
        <w:jc w:val="both"/>
        <w:rPr>
          <w:rFonts w:ascii="Times New Roman" w:hAnsi="Times New Roman"/>
          <w:sz w:val="24"/>
        </w:rPr>
      </w:pPr>
    </w:p>
    <w:p w:rsidR="006F2E96" w:rsidRDefault="00DC449A">
      <w:pPr>
        <w:pStyle w:val="ListeParagraf"/>
        <w:numPr>
          <w:ilvl w:val="0"/>
          <w:numId w:val="1"/>
        </w:numPr>
        <w:spacing w:line="276" w:lineRule="auto"/>
        <w:ind w:left="720"/>
        <w:jc w:val="both"/>
        <w:rPr>
          <w:rFonts w:ascii="Times New Roman" w:hAnsi="Times New Roman"/>
          <w:b/>
          <w:sz w:val="24"/>
        </w:rPr>
      </w:pPr>
      <w:r>
        <w:rPr>
          <w:rFonts w:ascii="Times New Roman" w:hAnsi="Times New Roman"/>
          <w:b/>
          <w:sz w:val="24"/>
        </w:rPr>
        <w:t>SORUMLULUKLAR</w:t>
      </w:r>
    </w:p>
    <w:p w:rsidR="006F2E96" w:rsidRDefault="00DC449A">
      <w:pPr>
        <w:pStyle w:val="ListeParagraf"/>
        <w:spacing w:line="276" w:lineRule="auto"/>
        <w:ind w:firstLine="708"/>
        <w:jc w:val="both"/>
        <w:rPr>
          <w:rFonts w:ascii="Times New Roman" w:hAnsi="Times New Roman"/>
          <w:b/>
          <w:sz w:val="24"/>
        </w:rPr>
      </w:pPr>
      <w:r>
        <w:rPr>
          <w:rFonts w:ascii="Times New Roman" w:hAnsi="Times New Roman"/>
          <w:sz w:val="24"/>
        </w:rPr>
        <w:t>Bu prosedürün hazırlanması ve yönetiminden Yönetim Temsilcisi sorumludur. Prosedürün uygulanmasına yönelik sorumluluklar prosedür de belirtilmiştir.</w:t>
      </w:r>
    </w:p>
    <w:p w:rsidR="006F2E96" w:rsidRDefault="000A4476">
      <w:pPr>
        <w:pStyle w:val="ListeParagraf"/>
        <w:spacing w:line="276" w:lineRule="auto"/>
        <w:jc w:val="both"/>
        <w:rPr>
          <w:rFonts w:ascii="Times New Roman" w:hAnsi="Times New Roman"/>
          <w:sz w:val="24"/>
        </w:rPr>
      </w:pPr>
    </w:p>
    <w:p w:rsidR="006F2E96" w:rsidRDefault="00DC449A">
      <w:pPr>
        <w:pStyle w:val="ListeParagraf"/>
        <w:numPr>
          <w:ilvl w:val="0"/>
          <w:numId w:val="1"/>
        </w:numPr>
        <w:spacing w:line="276" w:lineRule="auto"/>
        <w:ind w:left="720"/>
        <w:jc w:val="both"/>
        <w:rPr>
          <w:rFonts w:ascii="Times New Roman" w:hAnsi="Times New Roman"/>
          <w:b/>
          <w:sz w:val="24"/>
        </w:rPr>
      </w:pPr>
      <w:r>
        <w:rPr>
          <w:rFonts w:ascii="Times New Roman" w:hAnsi="Times New Roman"/>
          <w:b/>
          <w:sz w:val="24"/>
        </w:rPr>
        <w:t>UYGULAMA</w:t>
      </w:r>
    </w:p>
    <w:p w:rsidR="006F2E96" w:rsidRDefault="00DC449A">
      <w:pPr>
        <w:pStyle w:val="ListeParagraf"/>
        <w:numPr>
          <w:ilvl w:val="1"/>
          <w:numId w:val="1"/>
        </w:numPr>
        <w:spacing w:line="276" w:lineRule="auto"/>
        <w:ind w:left="1440" w:hanging="360"/>
        <w:jc w:val="both"/>
        <w:rPr>
          <w:rFonts w:ascii="Times New Roman" w:hAnsi="Times New Roman"/>
          <w:b/>
          <w:sz w:val="24"/>
        </w:rPr>
      </w:pPr>
      <w:r>
        <w:rPr>
          <w:rFonts w:ascii="Times New Roman" w:hAnsi="Times New Roman"/>
          <w:b/>
          <w:sz w:val="24"/>
        </w:rPr>
        <w:t xml:space="preserve"> İç Tetkik Planının Hazırlanması</w:t>
      </w:r>
    </w:p>
    <w:p w:rsidR="006F2E96" w:rsidRDefault="00DC449A">
      <w:pPr>
        <w:pStyle w:val="ListeParagraf"/>
        <w:spacing w:line="276" w:lineRule="auto"/>
        <w:ind w:firstLine="708"/>
        <w:jc w:val="both"/>
        <w:rPr>
          <w:rFonts w:ascii="Times New Roman" w:hAnsi="Times New Roman"/>
          <w:sz w:val="24"/>
        </w:rPr>
      </w:pPr>
      <w:r>
        <w:rPr>
          <w:rFonts w:ascii="Times New Roman" w:hAnsi="Times New Roman"/>
          <w:sz w:val="24"/>
        </w:rPr>
        <w:t>İç denetim planı, ilgili daire başkanlıkların her akademik yıl içerisinde en az bir defa denetlenmesini sağlayacak şekilde, Yönetim Temsilcisi tarafından “</w:t>
      </w:r>
      <w:r>
        <w:rPr>
          <w:rFonts w:ascii="Times New Roman" w:hAnsi="Times New Roman"/>
          <w:i/>
          <w:sz w:val="24"/>
        </w:rPr>
        <w:t>FR-028</w:t>
      </w:r>
      <w:r>
        <w:rPr>
          <w:rFonts w:ascii="Times New Roman" w:hAnsi="Times New Roman"/>
          <w:sz w:val="24"/>
        </w:rPr>
        <w:t xml:space="preserve"> </w:t>
      </w:r>
      <w:r>
        <w:rPr>
          <w:rFonts w:ascii="Times New Roman" w:hAnsi="Times New Roman"/>
          <w:i/>
          <w:sz w:val="24"/>
        </w:rPr>
        <w:t>İç Tetkik Ziyaret Programı Formu”</w:t>
      </w:r>
      <w:r>
        <w:rPr>
          <w:rFonts w:ascii="Times New Roman" w:hAnsi="Times New Roman"/>
          <w:sz w:val="24"/>
        </w:rPr>
        <w:t xml:space="preserve"> kullanılarak hazırlanır ve en az bir hafta öncesinden E-posta veya EBYS ile duyuru yapılır.  Denetim süreleri ve denetim ekibindeki denetçi sayısı, Yönetim Temsilcisi tarafından denetlenecek birimin büyüklüğü ve faaliyet kapsamı dikkate alınarak denetçi havuzundan faydalanılarak belirlenir. Bununla birlikte Kalite Temsilcisi tarafından gerek duyulması halinde, denetimin tarafsızlığını, objektifliğini ve etkinliğini sağlamak için Süleyman Demirel Üniversitesi dışından denetçiler de denetimlerde görevlendirilebilir veya iç denetim bu konuda yeterli uzmanlığı olan bir kuruluşa da yaptırılabilir.  Birden fazla denetçiden oluşan ekiplerde, ekipteki denetçilerden biri Baş Tetkikçi olarak belirlenir. Baş Tetkikçi, denetimle ilgili tüm sorumlulukları ve yetkileri üstlenir. Denetimlerin tarafsızlığını ve objektifliğini sağlamak esastır. Bu amaçla denetçiler, çalıştıkları birimde veya bir önceki görev yaptıkları birimde denetim yapamazlar. </w:t>
      </w:r>
    </w:p>
    <w:p w:rsidR="006F2E96" w:rsidRDefault="000A4476">
      <w:pPr>
        <w:pStyle w:val="ListeParagraf"/>
        <w:spacing w:line="276" w:lineRule="auto"/>
        <w:jc w:val="both"/>
        <w:rPr>
          <w:rFonts w:ascii="Times New Roman" w:hAnsi="Times New Roman"/>
          <w:b/>
          <w:sz w:val="24"/>
        </w:rPr>
      </w:pPr>
    </w:p>
    <w:p w:rsidR="006F2E96" w:rsidRDefault="00DC449A">
      <w:pPr>
        <w:pStyle w:val="ListeParagraf"/>
        <w:numPr>
          <w:ilvl w:val="1"/>
          <w:numId w:val="1"/>
        </w:numPr>
        <w:spacing w:line="276" w:lineRule="auto"/>
        <w:ind w:left="1440" w:hanging="360"/>
        <w:jc w:val="both"/>
        <w:rPr>
          <w:rFonts w:ascii="Times New Roman" w:hAnsi="Times New Roman"/>
          <w:b/>
          <w:sz w:val="24"/>
        </w:rPr>
      </w:pPr>
      <w:r>
        <w:rPr>
          <w:rFonts w:ascii="Times New Roman" w:hAnsi="Times New Roman"/>
          <w:b/>
          <w:sz w:val="24"/>
        </w:rPr>
        <w:t>Denetim Hazırlıkları</w:t>
      </w:r>
    </w:p>
    <w:p w:rsidR="006F2E96" w:rsidRDefault="00DC449A">
      <w:pPr>
        <w:pStyle w:val="ListeParagraf"/>
        <w:spacing w:line="276" w:lineRule="auto"/>
        <w:ind w:firstLine="708"/>
        <w:jc w:val="both"/>
        <w:rPr>
          <w:rFonts w:ascii="Times New Roman" w:hAnsi="Times New Roman"/>
          <w:sz w:val="24"/>
        </w:rPr>
      </w:pPr>
      <w:r>
        <w:rPr>
          <w:rFonts w:ascii="Times New Roman" w:hAnsi="Times New Roman"/>
          <w:sz w:val="24"/>
        </w:rPr>
        <w:t xml:space="preserve">Planlanan denetim tarihinden önce Baş Tetkikçi ve tetkik ekibi denetlenecek birimin organizasyonu, dokümanları ve süreçleri inceler denetim planını hazırlar. Gerekli olması durumunda ekip içerisinde standart maddeleri veya birimin süreçlerine bağlı olarak görev bölümü yapılabilir. </w:t>
      </w:r>
    </w:p>
    <w:p w:rsidR="006F2E96" w:rsidRDefault="00DC449A">
      <w:pPr>
        <w:pStyle w:val="ListeParagraf"/>
        <w:spacing w:line="276" w:lineRule="auto"/>
        <w:jc w:val="both"/>
        <w:rPr>
          <w:rFonts w:ascii="Times New Roman" w:hAnsi="Times New Roman"/>
          <w:sz w:val="24"/>
        </w:rPr>
      </w:pPr>
      <w:r>
        <w:rPr>
          <w:rFonts w:ascii="Times New Roman" w:hAnsi="Times New Roman"/>
          <w:sz w:val="24"/>
        </w:rPr>
        <w:t>Baş Tetkikçi, denetlenecek birim Kalite Sorumlusu ile temasa geçerek, denetim tarihi ve saati konusunda teyitleşir. Eğer Kalite Temsilcisinin ilan ettiği plan tarihinde denetimi etkileyecek bir durum olursa denetlenecek birim denetçi ile görüşerek ve Kalite Yönetim Birimine bilgi vererek denetim tarihini değiştirebilir.  Denetlenecek birimdeki organizasyon Birim Kalite Sorumlusu tarafından yapılarak, denetim tarihinde ilgililerin hazır bulunması sağlanır.</w:t>
      </w:r>
    </w:p>
    <w:p w:rsidR="006F2E96" w:rsidRDefault="000A4476">
      <w:pPr>
        <w:pStyle w:val="ListeParagraf"/>
        <w:spacing w:line="276" w:lineRule="auto"/>
        <w:jc w:val="both"/>
        <w:rPr>
          <w:rFonts w:ascii="Times New Roman" w:hAnsi="Times New Roman"/>
          <w:sz w:val="24"/>
        </w:rPr>
      </w:pPr>
    </w:p>
    <w:p w:rsidR="00573E48" w:rsidRDefault="00573E48">
      <w:pPr>
        <w:pStyle w:val="ListeParagraf"/>
        <w:spacing w:line="276" w:lineRule="auto"/>
        <w:jc w:val="both"/>
        <w:rPr>
          <w:rFonts w:ascii="Times New Roman" w:hAnsi="Times New Roman"/>
          <w:sz w:val="24"/>
        </w:rPr>
      </w:pPr>
    </w:p>
    <w:p w:rsidR="00573E48" w:rsidRDefault="00573E48">
      <w:pPr>
        <w:pStyle w:val="ListeParagraf"/>
        <w:spacing w:line="276" w:lineRule="auto"/>
        <w:jc w:val="both"/>
        <w:rPr>
          <w:rFonts w:ascii="Times New Roman" w:hAnsi="Times New Roman"/>
          <w:sz w:val="24"/>
        </w:rPr>
      </w:pPr>
    </w:p>
    <w:p w:rsidR="00573E48" w:rsidRDefault="00573E48">
      <w:pPr>
        <w:pStyle w:val="ListeParagraf"/>
        <w:spacing w:line="276" w:lineRule="auto"/>
        <w:jc w:val="both"/>
        <w:rPr>
          <w:rFonts w:ascii="Times New Roman" w:hAnsi="Times New Roman"/>
          <w:sz w:val="24"/>
        </w:rPr>
      </w:pPr>
    </w:p>
    <w:p w:rsidR="006F2E96" w:rsidRDefault="00DC449A">
      <w:pPr>
        <w:pStyle w:val="ListeParagraf"/>
        <w:numPr>
          <w:ilvl w:val="1"/>
          <w:numId w:val="1"/>
        </w:numPr>
        <w:spacing w:line="276" w:lineRule="auto"/>
        <w:ind w:left="1440" w:hanging="360"/>
        <w:jc w:val="both"/>
        <w:rPr>
          <w:rFonts w:ascii="Times New Roman" w:hAnsi="Times New Roman"/>
          <w:b/>
          <w:sz w:val="24"/>
        </w:rPr>
      </w:pPr>
      <w:r>
        <w:rPr>
          <w:rFonts w:ascii="Times New Roman" w:hAnsi="Times New Roman"/>
          <w:b/>
          <w:sz w:val="24"/>
        </w:rPr>
        <w:lastRenderedPageBreak/>
        <w:t>Denetimin Aşamaları</w:t>
      </w:r>
    </w:p>
    <w:p w:rsidR="006F2E96" w:rsidRDefault="00DC449A">
      <w:pPr>
        <w:pStyle w:val="ListeParagraf"/>
        <w:numPr>
          <w:ilvl w:val="2"/>
          <w:numId w:val="1"/>
        </w:numPr>
        <w:spacing w:line="276" w:lineRule="auto"/>
        <w:jc w:val="both"/>
        <w:rPr>
          <w:rFonts w:ascii="Times New Roman" w:hAnsi="Times New Roman"/>
          <w:b/>
          <w:sz w:val="24"/>
        </w:rPr>
      </w:pPr>
      <w:r>
        <w:rPr>
          <w:rFonts w:ascii="Times New Roman" w:hAnsi="Times New Roman"/>
          <w:b/>
          <w:sz w:val="24"/>
        </w:rPr>
        <w:t>Açılış Toplantısı</w:t>
      </w:r>
    </w:p>
    <w:p w:rsidR="006F2E96" w:rsidRDefault="00DC449A">
      <w:pPr>
        <w:pStyle w:val="ListeParagraf"/>
        <w:spacing w:line="276" w:lineRule="auto"/>
        <w:ind w:firstLine="708"/>
        <w:jc w:val="both"/>
        <w:rPr>
          <w:rFonts w:ascii="Times New Roman" w:hAnsi="Times New Roman"/>
          <w:sz w:val="24"/>
        </w:rPr>
      </w:pPr>
      <w:r>
        <w:rPr>
          <w:rFonts w:ascii="Times New Roman" w:hAnsi="Times New Roman"/>
          <w:sz w:val="24"/>
        </w:rPr>
        <w:t xml:space="preserve">Denetimler, denetim ekibi ve denetlenen birim yöneticilerinin katıldığı bir açılış toplantısı ile başlatılır. </w:t>
      </w:r>
    </w:p>
    <w:p w:rsidR="006F2E96" w:rsidRDefault="00DC449A">
      <w:pPr>
        <w:pStyle w:val="ListeParagraf"/>
        <w:spacing w:line="276" w:lineRule="auto"/>
        <w:jc w:val="both"/>
        <w:rPr>
          <w:rFonts w:ascii="Times New Roman" w:hAnsi="Times New Roman"/>
          <w:sz w:val="24"/>
        </w:rPr>
      </w:pPr>
      <w:r>
        <w:rPr>
          <w:rFonts w:ascii="Times New Roman" w:hAnsi="Times New Roman"/>
          <w:sz w:val="24"/>
          <w:u w:val="single"/>
        </w:rPr>
        <w:t>Açılış toplantısında görüşülen konulan ve faaliyetler;</w:t>
      </w:r>
      <w:r>
        <w:rPr>
          <w:rFonts w:ascii="Times New Roman" w:hAnsi="Times New Roman"/>
          <w:sz w:val="24"/>
        </w:rPr>
        <w:t xml:space="preserve"> (Açılış toplantısı 15-30 dk sürer)</w:t>
      </w:r>
    </w:p>
    <w:p w:rsidR="006F2E96" w:rsidRDefault="00DC449A">
      <w:pPr>
        <w:pStyle w:val="ListeParagraf"/>
        <w:numPr>
          <w:ilvl w:val="0"/>
          <w:numId w:val="2"/>
        </w:numPr>
        <w:spacing w:line="276" w:lineRule="auto"/>
        <w:jc w:val="both"/>
        <w:rPr>
          <w:rFonts w:ascii="Times New Roman" w:hAnsi="Times New Roman"/>
          <w:sz w:val="24"/>
        </w:rPr>
      </w:pPr>
      <w:r>
        <w:rPr>
          <w:rFonts w:ascii="Times New Roman" w:hAnsi="Times New Roman"/>
          <w:sz w:val="24"/>
        </w:rPr>
        <w:t>Denetçilerin kendilerini tanıtması (öğrenim ve mesleki tecrübeleri gibi)</w:t>
      </w:r>
    </w:p>
    <w:p w:rsidR="006F2E96" w:rsidRDefault="00DC449A">
      <w:pPr>
        <w:pStyle w:val="ListeParagraf"/>
        <w:numPr>
          <w:ilvl w:val="0"/>
          <w:numId w:val="2"/>
        </w:numPr>
        <w:spacing w:line="276" w:lineRule="auto"/>
        <w:jc w:val="both"/>
        <w:rPr>
          <w:rFonts w:ascii="Times New Roman" w:hAnsi="Times New Roman"/>
          <w:sz w:val="24"/>
        </w:rPr>
      </w:pPr>
      <w:r>
        <w:rPr>
          <w:rFonts w:ascii="Times New Roman" w:hAnsi="Times New Roman"/>
          <w:sz w:val="24"/>
        </w:rPr>
        <w:t>Denetimin kapsam ve amacının tekrarlanması, uygulanacak denetimin örnekleme yöntemi esasına dayandığının açıklanması</w:t>
      </w:r>
    </w:p>
    <w:p w:rsidR="006F2E96" w:rsidRDefault="00DC449A">
      <w:pPr>
        <w:pStyle w:val="ListeParagraf"/>
        <w:numPr>
          <w:ilvl w:val="0"/>
          <w:numId w:val="2"/>
        </w:numPr>
        <w:spacing w:line="276" w:lineRule="auto"/>
        <w:jc w:val="both"/>
        <w:rPr>
          <w:rFonts w:ascii="Times New Roman" w:hAnsi="Times New Roman"/>
          <w:sz w:val="24"/>
        </w:rPr>
      </w:pPr>
      <w:r>
        <w:rPr>
          <w:rFonts w:ascii="Times New Roman" w:hAnsi="Times New Roman"/>
          <w:sz w:val="24"/>
        </w:rPr>
        <w:t>Uygunsuzluk tiplerinin açıklanması (Majör-Minör-Gözlem)</w:t>
      </w:r>
    </w:p>
    <w:p w:rsidR="006F2E96" w:rsidRDefault="00DC449A">
      <w:pPr>
        <w:pStyle w:val="ListeParagraf"/>
        <w:numPr>
          <w:ilvl w:val="0"/>
          <w:numId w:val="2"/>
        </w:numPr>
        <w:spacing w:line="276" w:lineRule="auto"/>
        <w:jc w:val="both"/>
        <w:rPr>
          <w:rFonts w:ascii="Times New Roman" w:hAnsi="Times New Roman"/>
          <w:sz w:val="24"/>
        </w:rPr>
      </w:pPr>
      <w:r>
        <w:rPr>
          <w:rFonts w:ascii="Times New Roman" w:hAnsi="Times New Roman"/>
          <w:sz w:val="24"/>
        </w:rPr>
        <w:t>Denetim planı konusunda varsa mevcut değişiklik taleplerinin teyidi</w:t>
      </w:r>
    </w:p>
    <w:p w:rsidR="006F2E96" w:rsidRDefault="00DC449A">
      <w:pPr>
        <w:pStyle w:val="ListeParagraf"/>
        <w:numPr>
          <w:ilvl w:val="0"/>
          <w:numId w:val="2"/>
        </w:numPr>
        <w:spacing w:line="276" w:lineRule="auto"/>
        <w:jc w:val="both"/>
        <w:rPr>
          <w:rFonts w:ascii="Times New Roman" w:hAnsi="Times New Roman"/>
          <w:sz w:val="24"/>
        </w:rPr>
      </w:pPr>
      <w:r>
        <w:rPr>
          <w:rFonts w:ascii="Times New Roman" w:hAnsi="Times New Roman"/>
          <w:sz w:val="24"/>
        </w:rPr>
        <w:t>Denetimin gerçekleştirileceği alanların belirlenmesi ve kılavuz istenmesi</w:t>
      </w:r>
    </w:p>
    <w:p w:rsidR="006F2E96" w:rsidRDefault="00DC449A">
      <w:pPr>
        <w:pStyle w:val="ListeParagraf"/>
        <w:numPr>
          <w:ilvl w:val="0"/>
          <w:numId w:val="2"/>
        </w:numPr>
        <w:spacing w:line="276" w:lineRule="auto"/>
        <w:jc w:val="both"/>
        <w:rPr>
          <w:rFonts w:ascii="Times New Roman" w:hAnsi="Times New Roman"/>
          <w:sz w:val="24"/>
        </w:rPr>
      </w:pPr>
      <w:r>
        <w:rPr>
          <w:rFonts w:ascii="Times New Roman" w:hAnsi="Times New Roman"/>
          <w:sz w:val="24"/>
        </w:rPr>
        <w:t xml:space="preserve">Saha denetimleri için varsa iş güvenliği, acil durum ve emniyet konularının </w:t>
      </w:r>
    </w:p>
    <w:p w:rsidR="006F2E96" w:rsidRDefault="00DC449A">
      <w:pPr>
        <w:pStyle w:val="ListeParagraf"/>
        <w:numPr>
          <w:ilvl w:val="0"/>
          <w:numId w:val="2"/>
        </w:numPr>
        <w:spacing w:line="276" w:lineRule="auto"/>
        <w:jc w:val="both"/>
        <w:rPr>
          <w:rFonts w:ascii="Times New Roman" w:hAnsi="Times New Roman"/>
          <w:sz w:val="24"/>
        </w:rPr>
      </w:pPr>
      <w:r>
        <w:rPr>
          <w:rFonts w:ascii="Times New Roman" w:hAnsi="Times New Roman"/>
          <w:sz w:val="24"/>
        </w:rPr>
        <w:t>Ara ve kapanış toplantıları zamanlarının belirlenmesi</w:t>
      </w:r>
    </w:p>
    <w:p w:rsidR="006F2E96" w:rsidRDefault="00DC449A">
      <w:pPr>
        <w:pStyle w:val="ListeParagraf"/>
        <w:numPr>
          <w:ilvl w:val="0"/>
          <w:numId w:val="2"/>
        </w:numPr>
        <w:spacing w:line="276" w:lineRule="auto"/>
        <w:jc w:val="both"/>
        <w:rPr>
          <w:rFonts w:ascii="Times New Roman" w:hAnsi="Times New Roman"/>
          <w:sz w:val="24"/>
        </w:rPr>
      </w:pPr>
      <w:r>
        <w:rPr>
          <w:rFonts w:ascii="Times New Roman" w:hAnsi="Times New Roman"/>
          <w:sz w:val="24"/>
        </w:rPr>
        <w:t>Gizlilik prensibinin beyanı</w:t>
      </w:r>
    </w:p>
    <w:p w:rsidR="006F2E96" w:rsidRDefault="00DC449A">
      <w:pPr>
        <w:pStyle w:val="ListeParagraf"/>
        <w:numPr>
          <w:ilvl w:val="0"/>
          <w:numId w:val="2"/>
        </w:numPr>
        <w:spacing w:line="276" w:lineRule="auto"/>
        <w:jc w:val="both"/>
        <w:rPr>
          <w:rFonts w:ascii="Times New Roman" w:hAnsi="Times New Roman"/>
          <w:sz w:val="24"/>
        </w:rPr>
      </w:pPr>
      <w:r>
        <w:rPr>
          <w:rFonts w:ascii="Times New Roman" w:hAnsi="Times New Roman"/>
          <w:sz w:val="24"/>
        </w:rPr>
        <w:t>Denetlenenden gelecek soruların cevaplanması</w:t>
      </w:r>
    </w:p>
    <w:p w:rsidR="006F2E96" w:rsidRDefault="00DC449A">
      <w:pPr>
        <w:pStyle w:val="ListeParagraf"/>
        <w:numPr>
          <w:ilvl w:val="0"/>
          <w:numId w:val="2"/>
        </w:numPr>
        <w:spacing w:line="276" w:lineRule="auto"/>
        <w:jc w:val="both"/>
        <w:rPr>
          <w:rFonts w:ascii="Times New Roman" w:hAnsi="Times New Roman"/>
          <w:sz w:val="24"/>
        </w:rPr>
      </w:pPr>
      <w:r>
        <w:rPr>
          <w:rFonts w:ascii="Times New Roman" w:hAnsi="Times New Roman"/>
          <w:sz w:val="24"/>
        </w:rPr>
        <w:t xml:space="preserve">Katılım tutanağının denetçiler ve tüm katılımcılar tarafından imzalanması </w:t>
      </w:r>
    </w:p>
    <w:p w:rsidR="006F2E96" w:rsidRDefault="000A4476">
      <w:pPr>
        <w:pStyle w:val="ListeParagraf"/>
        <w:spacing w:line="276" w:lineRule="auto"/>
        <w:jc w:val="both"/>
        <w:rPr>
          <w:rFonts w:ascii="Times New Roman" w:hAnsi="Times New Roman"/>
          <w:b/>
          <w:sz w:val="24"/>
        </w:rPr>
      </w:pPr>
    </w:p>
    <w:p w:rsidR="006F2E96" w:rsidRDefault="00DC449A">
      <w:pPr>
        <w:pStyle w:val="ListeParagraf"/>
        <w:numPr>
          <w:ilvl w:val="2"/>
          <w:numId w:val="1"/>
        </w:numPr>
        <w:spacing w:line="276" w:lineRule="auto"/>
        <w:contextualSpacing/>
        <w:jc w:val="both"/>
        <w:rPr>
          <w:rFonts w:ascii="Times New Roman" w:hAnsi="Times New Roman"/>
          <w:b/>
          <w:sz w:val="24"/>
        </w:rPr>
      </w:pPr>
      <w:r>
        <w:rPr>
          <w:rFonts w:ascii="Times New Roman" w:hAnsi="Times New Roman"/>
          <w:b/>
          <w:sz w:val="24"/>
        </w:rPr>
        <w:t>Denetim</w:t>
      </w:r>
    </w:p>
    <w:p w:rsidR="006F2E96" w:rsidRDefault="00DC449A">
      <w:pPr>
        <w:pStyle w:val="ListeParagraf"/>
        <w:spacing w:line="276" w:lineRule="auto"/>
        <w:ind w:firstLine="708"/>
        <w:jc w:val="both"/>
        <w:rPr>
          <w:rFonts w:ascii="Times New Roman" w:hAnsi="Times New Roman"/>
          <w:sz w:val="24"/>
        </w:rPr>
      </w:pPr>
      <w:r>
        <w:rPr>
          <w:rFonts w:ascii="Times New Roman" w:hAnsi="Times New Roman"/>
          <w:sz w:val="24"/>
        </w:rPr>
        <w:t>Denetim</w:t>
      </w:r>
      <w:r>
        <w:rPr>
          <w:rFonts w:ascii="Times New Roman" w:hAnsi="Times New Roman"/>
          <w:b/>
          <w:sz w:val="24"/>
        </w:rPr>
        <w:t xml:space="preserve">, </w:t>
      </w:r>
      <w:r>
        <w:rPr>
          <w:rFonts w:ascii="Times New Roman" w:hAnsi="Times New Roman"/>
          <w:i/>
          <w:sz w:val="24"/>
        </w:rPr>
        <w:t xml:space="preserve">İç Tetkik Soru Listesi Formları </w:t>
      </w:r>
      <w:r>
        <w:rPr>
          <w:rFonts w:ascii="Times New Roman" w:hAnsi="Times New Roman"/>
          <w:sz w:val="24"/>
        </w:rPr>
        <w:t>ve ekleri ile ilgili dokümanlar ve kayıtların örnekleme metodu ile ilgililerle yapılan mülakatlar, dokümanların ve kayıtların gözden geçirilmesi ve fiziksel ortamın gözlemlenmesi yolu ile gerçekleştirilir.</w:t>
      </w:r>
    </w:p>
    <w:p w:rsidR="006F2E96" w:rsidRDefault="00DC449A">
      <w:pPr>
        <w:pStyle w:val="ListeParagraf"/>
        <w:spacing w:line="276" w:lineRule="auto"/>
        <w:jc w:val="both"/>
        <w:rPr>
          <w:rFonts w:ascii="Times New Roman" w:hAnsi="Times New Roman"/>
          <w:sz w:val="24"/>
        </w:rPr>
      </w:pPr>
      <w:r>
        <w:rPr>
          <w:rFonts w:ascii="Times New Roman" w:hAnsi="Times New Roman"/>
          <w:sz w:val="24"/>
        </w:rPr>
        <w:t>Denetim hazırlık aşamasında tespit edilen, denetlenecek birim ile ilgili ISO standart maddeleri doğrultusunda, dokümante edilmiş sistemin ISO standardı ve ilgili yasal mevzuat şartlarına uygun olup olmadığı, dokümanlarda belirtilen kuralların ilgili birimde etkin olarak uygulanıp uygulanmadığı gözden geçirilir.</w:t>
      </w:r>
    </w:p>
    <w:p w:rsidR="006F2E96" w:rsidRDefault="000A4476">
      <w:pPr>
        <w:pStyle w:val="ListeParagraf"/>
        <w:spacing w:line="276" w:lineRule="auto"/>
        <w:jc w:val="both"/>
        <w:rPr>
          <w:rFonts w:ascii="Times New Roman" w:hAnsi="Times New Roman"/>
          <w:b/>
          <w:sz w:val="24"/>
        </w:rPr>
      </w:pPr>
    </w:p>
    <w:p w:rsidR="006F2E96" w:rsidRDefault="00DC449A">
      <w:pPr>
        <w:pStyle w:val="ListeParagraf"/>
        <w:numPr>
          <w:ilvl w:val="2"/>
          <w:numId w:val="1"/>
        </w:numPr>
        <w:spacing w:line="276" w:lineRule="auto"/>
        <w:contextualSpacing/>
        <w:jc w:val="both"/>
        <w:rPr>
          <w:rFonts w:ascii="Times New Roman" w:hAnsi="Times New Roman"/>
          <w:b/>
          <w:sz w:val="24"/>
        </w:rPr>
      </w:pPr>
      <w:r>
        <w:rPr>
          <w:rFonts w:ascii="Times New Roman" w:hAnsi="Times New Roman"/>
          <w:b/>
          <w:sz w:val="24"/>
        </w:rPr>
        <w:t>Kapanış Toplantısı</w:t>
      </w:r>
    </w:p>
    <w:p w:rsidR="006F2E96" w:rsidRDefault="00DC449A">
      <w:pPr>
        <w:pStyle w:val="ListeParagraf"/>
        <w:spacing w:line="276" w:lineRule="auto"/>
        <w:ind w:firstLine="708"/>
        <w:jc w:val="both"/>
        <w:rPr>
          <w:rFonts w:ascii="Times New Roman" w:hAnsi="Times New Roman"/>
          <w:sz w:val="24"/>
        </w:rPr>
      </w:pPr>
      <w:r>
        <w:rPr>
          <w:rFonts w:ascii="Times New Roman" w:hAnsi="Times New Roman"/>
          <w:sz w:val="24"/>
        </w:rPr>
        <w:t xml:space="preserve">Tüm incelemeler tamamlandıktan sonra denetim bitirilir ve denetim sonuçlarının, denetim gözlemlerinin yönetime anlaşılır olarak sunulduğu, Tetkik Ekibi ve denetlenen taraf yöneticilerinin katıldığı bir kapanış toplantısı gerçekleştirilir. </w:t>
      </w:r>
    </w:p>
    <w:p w:rsidR="006F2E96" w:rsidRDefault="00DC449A">
      <w:pPr>
        <w:pStyle w:val="ListeParagraf"/>
        <w:spacing w:line="276" w:lineRule="auto"/>
        <w:jc w:val="both"/>
        <w:rPr>
          <w:rFonts w:ascii="Times New Roman" w:hAnsi="Times New Roman"/>
          <w:sz w:val="24"/>
        </w:rPr>
      </w:pPr>
      <w:r>
        <w:rPr>
          <w:rFonts w:ascii="Times New Roman" w:hAnsi="Times New Roman"/>
          <w:sz w:val="24"/>
          <w:u w:val="single"/>
        </w:rPr>
        <w:t>Kapanış toplantısında görüşülen konulan ve faaliyetler;</w:t>
      </w:r>
    </w:p>
    <w:p w:rsidR="006F2E96" w:rsidRDefault="00DC449A">
      <w:pPr>
        <w:pStyle w:val="ListeParagraf"/>
        <w:numPr>
          <w:ilvl w:val="0"/>
          <w:numId w:val="3"/>
        </w:numPr>
        <w:spacing w:line="276" w:lineRule="auto"/>
        <w:jc w:val="both"/>
        <w:rPr>
          <w:rFonts w:ascii="Times New Roman" w:hAnsi="Times New Roman"/>
          <w:sz w:val="24"/>
        </w:rPr>
      </w:pPr>
      <w:r>
        <w:rPr>
          <w:rFonts w:ascii="Times New Roman" w:hAnsi="Times New Roman"/>
          <w:sz w:val="24"/>
        </w:rPr>
        <w:t>Katılım için teşekkür edilmesi</w:t>
      </w:r>
    </w:p>
    <w:p w:rsidR="006F2E96" w:rsidRDefault="00DC449A">
      <w:pPr>
        <w:pStyle w:val="ListeParagraf"/>
        <w:numPr>
          <w:ilvl w:val="0"/>
          <w:numId w:val="3"/>
        </w:numPr>
        <w:spacing w:line="276" w:lineRule="auto"/>
        <w:jc w:val="both"/>
        <w:rPr>
          <w:rFonts w:ascii="Times New Roman" w:hAnsi="Times New Roman"/>
          <w:sz w:val="24"/>
        </w:rPr>
      </w:pPr>
      <w:r>
        <w:rPr>
          <w:rFonts w:ascii="Times New Roman" w:hAnsi="Times New Roman"/>
          <w:sz w:val="24"/>
        </w:rPr>
        <w:t>Pozitif veya güçlü yönlere yönelik yapılan tespitler (öncelikli olarak olumlu gözlemler açıklanmalı)</w:t>
      </w:r>
    </w:p>
    <w:p w:rsidR="006F2E96" w:rsidRDefault="00DC449A">
      <w:pPr>
        <w:pStyle w:val="ListeParagraf"/>
        <w:numPr>
          <w:ilvl w:val="0"/>
          <w:numId w:val="3"/>
        </w:numPr>
        <w:spacing w:line="276" w:lineRule="auto"/>
        <w:jc w:val="both"/>
        <w:rPr>
          <w:rFonts w:ascii="Times New Roman" w:hAnsi="Times New Roman"/>
          <w:sz w:val="24"/>
        </w:rPr>
      </w:pPr>
      <w:r>
        <w:rPr>
          <w:rFonts w:ascii="Times New Roman" w:hAnsi="Times New Roman"/>
          <w:sz w:val="24"/>
        </w:rPr>
        <w:t>Tespit edilen uygunsuzluklar (majör ve minör bulgular açıklanmalı)</w:t>
      </w:r>
    </w:p>
    <w:p w:rsidR="006F2E96" w:rsidRDefault="00DC449A">
      <w:pPr>
        <w:pStyle w:val="ListeParagraf"/>
        <w:numPr>
          <w:ilvl w:val="0"/>
          <w:numId w:val="3"/>
        </w:numPr>
        <w:spacing w:line="276" w:lineRule="auto"/>
        <w:jc w:val="both"/>
        <w:rPr>
          <w:rFonts w:ascii="Times New Roman" w:hAnsi="Times New Roman"/>
          <w:sz w:val="24"/>
        </w:rPr>
      </w:pPr>
      <w:r>
        <w:rPr>
          <w:rFonts w:ascii="Times New Roman" w:hAnsi="Times New Roman"/>
          <w:sz w:val="24"/>
        </w:rPr>
        <w:t>Gözlemler/İyileştirme ve geliştirme önerileri hakkında bilgi verilmeli,</w:t>
      </w:r>
    </w:p>
    <w:p w:rsidR="006F2E96" w:rsidRDefault="00DC449A">
      <w:pPr>
        <w:pStyle w:val="ListeParagraf"/>
        <w:numPr>
          <w:ilvl w:val="0"/>
          <w:numId w:val="3"/>
        </w:numPr>
        <w:spacing w:line="276" w:lineRule="auto"/>
        <w:jc w:val="both"/>
        <w:rPr>
          <w:rFonts w:ascii="Times New Roman" w:hAnsi="Times New Roman"/>
          <w:sz w:val="24"/>
        </w:rPr>
      </w:pPr>
      <w:r>
        <w:rPr>
          <w:rFonts w:ascii="Times New Roman" w:hAnsi="Times New Roman"/>
          <w:sz w:val="24"/>
        </w:rPr>
        <w:lastRenderedPageBreak/>
        <w:t>Kapanış toplantısında tespit edilen tüm uygunsuzluk ve gözlemler için denetlenen bölümle mutabık kalınmalıdır. (Anlaşma sağlanmayan noktalar hakkında ilgili birimin ek kanıt sunmasına izin verilebilir)</w:t>
      </w:r>
    </w:p>
    <w:p w:rsidR="006F2E96" w:rsidRDefault="00DC449A">
      <w:pPr>
        <w:pStyle w:val="ListeParagraf"/>
        <w:numPr>
          <w:ilvl w:val="0"/>
          <w:numId w:val="3"/>
        </w:numPr>
        <w:spacing w:line="276" w:lineRule="auto"/>
        <w:jc w:val="both"/>
        <w:rPr>
          <w:rFonts w:ascii="Times New Roman" w:hAnsi="Times New Roman"/>
          <w:sz w:val="24"/>
        </w:rPr>
      </w:pPr>
      <w:r>
        <w:rPr>
          <w:rFonts w:ascii="Times New Roman" w:hAnsi="Times New Roman"/>
          <w:sz w:val="24"/>
        </w:rPr>
        <w:t>Tespit edilen uygunsuzluklara ait düzeltici ve önleyici faaliyetlere ilişkin zamanların belirlenmesi sağlanır.</w:t>
      </w:r>
    </w:p>
    <w:p w:rsidR="006F2E96" w:rsidRDefault="00DC449A">
      <w:pPr>
        <w:pStyle w:val="ListeParagraf"/>
        <w:numPr>
          <w:ilvl w:val="0"/>
          <w:numId w:val="3"/>
        </w:numPr>
        <w:spacing w:line="276" w:lineRule="auto"/>
        <w:jc w:val="both"/>
        <w:rPr>
          <w:rFonts w:ascii="Times New Roman" w:hAnsi="Times New Roman"/>
          <w:sz w:val="24"/>
        </w:rPr>
      </w:pPr>
      <w:r>
        <w:rPr>
          <w:rFonts w:ascii="Times New Roman" w:hAnsi="Times New Roman"/>
          <w:sz w:val="24"/>
        </w:rPr>
        <w:t xml:space="preserve">Baş Tetkikçi tarafından denetim sonucunda tespit edilen bulgular ve uygunsuzluklar ile düzeltici faaliyet süreleri hakkında bilgi verilir. </w:t>
      </w:r>
    </w:p>
    <w:p w:rsidR="006F2E96" w:rsidRDefault="00DC449A">
      <w:pPr>
        <w:pStyle w:val="ListeParagraf"/>
        <w:numPr>
          <w:ilvl w:val="0"/>
          <w:numId w:val="3"/>
        </w:numPr>
        <w:spacing w:line="276" w:lineRule="auto"/>
        <w:jc w:val="both"/>
        <w:rPr>
          <w:rFonts w:ascii="Times New Roman" w:hAnsi="Times New Roman"/>
          <w:sz w:val="24"/>
        </w:rPr>
      </w:pPr>
      <w:r>
        <w:rPr>
          <w:rFonts w:ascii="Times New Roman" w:hAnsi="Times New Roman"/>
          <w:sz w:val="24"/>
        </w:rPr>
        <w:t>Denetçilerin denetim raporunu imzalanır.</w:t>
      </w:r>
    </w:p>
    <w:p w:rsidR="006F2E96" w:rsidRDefault="00DC449A">
      <w:pPr>
        <w:pStyle w:val="ListeParagraf"/>
        <w:numPr>
          <w:ilvl w:val="0"/>
          <w:numId w:val="3"/>
        </w:numPr>
        <w:spacing w:line="276" w:lineRule="auto"/>
        <w:jc w:val="both"/>
        <w:rPr>
          <w:rFonts w:ascii="Times New Roman" w:hAnsi="Times New Roman"/>
          <w:sz w:val="24"/>
        </w:rPr>
      </w:pPr>
      <w:r>
        <w:rPr>
          <w:rFonts w:ascii="Times New Roman" w:hAnsi="Times New Roman"/>
          <w:sz w:val="24"/>
        </w:rPr>
        <w:t>Katılım tutanağının denetçiler ve tüm katılımcılar tarafından imzalanması aşamalarından oluşur.</w:t>
      </w:r>
    </w:p>
    <w:p w:rsidR="006F2E96" w:rsidRDefault="000A4476">
      <w:pPr>
        <w:pStyle w:val="ListeParagraf"/>
        <w:spacing w:line="276" w:lineRule="auto"/>
        <w:jc w:val="both"/>
        <w:rPr>
          <w:rFonts w:ascii="Times New Roman" w:hAnsi="Times New Roman"/>
          <w:b/>
          <w:sz w:val="24"/>
        </w:rPr>
      </w:pPr>
    </w:p>
    <w:p w:rsidR="006F2E96" w:rsidRDefault="00DC449A">
      <w:pPr>
        <w:pStyle w:val="ListeParagraf"/>
        <w:numPr>
          <w:ilvl w:val="1"/>
          <w:numId w:val="1"/>
        </w:numPr>
        <w:spacing w:line="276" w:lineRule="auto"/>
        <w:ind w:left="1440" w:hanging="360"/>
        <w:jc w:val="both"/>
        <w:rPr>
          <w:rFonts w:ascii="Times New Roman" w:hAnsi="Times New Roman"/>
          <w:b/>
          <w:sz w:val="24"/>
        </w:rPr>
      </w:pPr>
      <w:r>
        <w:rPr>
          <w:rFonts w:ascii="Times New Roman" w:hAnsi="Times New Roman"/>
          <w:b/>
          <w:sz w:val="24"/>
        </w:rPr>
        <w:t>Denetim Raporunun Hazırlanması ve Teslimi</w:t>
      </w:r>
    </w:p>
    <w:p w:rsidR="006F2E96" w:rsidRDefault="00DC449A">
      <w:pPr>
        <w:pStyle w:val="ListeParagraf"/>
        <w:spacing w:line="276" w:lineRule="auto"/>
        <w:ind w:firstLine="708"/>
        <w:jc w:val="both"/>
        <w:rPr>
          <w:rFonts w:ascii="Times New Roman" w:hAnsi="Times New Roman"/>
          <w:sz w:val="24"/>
        </w:rPr>
      </w:pPr>
      <w:r>
        <w:rPr>
          <w:rFonts w:ascii="Times New Roman" w:hAnsi="Times New Roman"/>
          <w:sz w:val="24"/>
        </w:rPr>
        <w:t>Tespit edilen her bir uygunsuzluk için denetçi tarafından Düzeltici ve İyileştirici /Önleyici Faaliyet Formu (DİF /DÖF ) formu hazırlanır. Hazırlanan bu formda DİF / DÖF nedeni İç Denetim Uygunsuzluğu olarak belirtilir ve denetçi tarafından DİF /DÖF talep eden kısmı imzalanır.</w:t>
      </w:r>
    </w:p>
    <w:p w:rsidR="006F2E96" w:rsidRDefault="00DC449A">
      <w:pPr>
        <w:pStyle w:val="ListeParagraf"/>
        <w:spacing w:line="276" w:lineRule="auto"/>
        <w:jc w:val="both"/>
        <w:rPr>
          <w:rFonts w:ascii="Times New Roman" w:hAnsi="Times New Roman"/>
          <w:sz w:val="24"/>
        </w:rPr>
      </w:pPr>
      <w:r>
        <w:rPr>
          <w:rFonts w:ascii="Times New Roman" w:hAnsi="Times New Roman"/>
          <w:sz w:val="24"/>
        </w:rPr>
        <w:t>Denetimin tamamlanmasından itibaren 3 iş günü içerisinde, denetim ekibi tarafından İç Denetim Raporu düzenlenir ve eksiksiz olarak hazırlanan DİF / DÖF formları Baş Tetkikçi tarafından Kalite Yönetim Birimine iletilir.</w:t>
      </w:r>
    </w:p>
    <w:p w:rsidR="006F2E96" w:rsidRDefault="000A4476">
      <w:pPr>
        <w:pStyle w:val="ListeParagraf"/>
        <w:spacing w:line="276" w:lineRule="auto"/>
        <w:jc w:val="both"/>
        <w:rPr>
          <w:rFonts w:ascii="Times New Roman" w:hAnsi="Times New Roman"/>
          <w:sz w:val="24"/>
        </w:rPr>
      </w:pPr>
    </w:p>
    <w:p w:rsidR="006F2E96" w:rsidRDefault="00DC449A">
      <w:pPr>
        <w:pStyle w:val="ListeParagraf"/>
        <w:numPr>
          <w:ilvl w:val="1"/>
          <w:numId w:val="1"/>
        </w:numPr>
        <w:spacing w:line="276" w:lineRule="auto"/>
        <w:ind w:left="1440" w:hanging="360"/>
        <w:jc w:val="both"/>
        <w:rPr>
          <w:rFonts w:ascii="Times New Roman" w:hAnsi="Times New Roman"/>
          <w:b/>
          <w:sz w:val="24"/>
        </w:rPr>
      </w:pPr>
      <w:r>
        <w:rPr>
          <w:rFonts w:ascii="Times New Roman" w:hAnsi="Times New Roman"/>
          <w:b/>
          <w:sz w:val="24"/>
        </w:rPr>
        <w:t>Düzeltici Faaliyetlerin Gerçekleştirilmesi ve Takibi</w:t>
      </w:r>
    </w:p>
    <w:p w:rsidR="006F2E96" w:rsidRDefault="00DC449A">
      <w:pPr>
        <w:pStyle w:val="ListeParagraf"/>
        <w:spacing w:line="276" w:lineRule="auto"/>
        <w:ind w:firstLine="708"/>
        <w:jc w:val="both"/>
        <w:rPr>
          <w:rFonts w:ascii="Times New Roman" w:hAnsi="Times New Roman"/>
          <w:sz w:val="24"/>
        </w:rPr>
      </w:pPr>
      <w:r>
        <w:rPr>
          <w:rFonts w:ascii="Times New Roman" w:hAnsi="Times New Roman"/>
          <w:sz w:val="24"/>
        </w:rPr>
        <w:t xml:space="preserve">Denetimde tespit edilen uygunsuzluklar birim Kalite Sorumlusu tarafından gözden geçirilir, ilgililerle görüşülerek bu uygunsuzlukların giderilmesi ve tekrarının engellenmesi için gerçekleştirilecek faaliyetler belirlenir ve uygulanır. Faaliyetin gerçekleştirilmesi için belirtilecek termin uygunsuzluğun türüne göre belirlenir. Planlanan faaliyetlerin kontrolü tetkik ekibin sorumluluğundadır. </w:t>
      </w:r>
    </w:p>
    <w:p w:rsidR="006F2E96" w:rsidRDefault="00DC449A">
      <w:pPr>
        <w:pStyle w:val="ListeParagraf"/>
        <w:spacing w:line="276" w:lineRule="auto"/>
        <w:jc w:val="both"/>
        <w:rPr>
          <w:rFonts w:ascii="Times New Roman" w:hAnsi="Times New Roman"/>
          <w:sz w:val="24"/>
        </w:rPr>
      </w:pPr>
      <w:r>
        <w:rPr>
          <w:rFonts w:ascii="Times New Roman" w:hAnsi="Times New Roman"/>
          <w:sz w:val="24"/>
        </w:rPr>
        <w:t xml:space="preserve">Kalite Yönetim Birimi gerçekleştirilen düzeltici faaliyetleri ve bunlara ilişkin kanıtları inceleyerek, yapılan düzeltici faaliyetlerin etkinliğini ve yeterliliğini değerlendirir. Gerçekleştirilen düzeltici faaliyetlerin yetersiz olması durumunda, Baş Tetkikçi, Kalite Yönetim Temsilcisi ile temasa geçerek, ek düzeltici faaliyetler yapılmasını talep edebilir. Bir uygunsuzluk ancak uygunsuzluğun kök nedeninin doğru tespit edilerek ortadan kaldırılması ile kapatılabilir. </w:t>
      </w:r>
    </w:p>
    <w:p w:rsidR="006F2E96" w:rsidRDefault="000A4476">
      <w:pPr>
        <w:pStyle w:val="ListeParagraf"/>
        <w:spacing w:line="276" w:lineRule="auto"/>
        <w:jc w:val="both"/>
        <w:rPr>
          <w:rFonts w:ascii="Times New Roman" w:hAnsi="Times New Roman"/>
          <w:sz w:val="24"/>
        </w:rPr>
      </w:pPr>
    </w:p>
    <w:p w:rsidR="006F2E96" w:rsidRDefault="00DC449A">
      <w:pPr>
        <w:pStyle w:val="ListeParagraf"/>
        <w:numPr>
          <w:ilvl w:val="1"/>
          <w:numId w:val="1"/>
        </w:numPr>
        <w:spacing w:line="276" w:lineRule="auto"/>
        <w:ind w:left="1440" w:hanging="360"/>
        <w:jc w:val="both"/>
        <w:rPr>
          <w:rFonts w:ascii="Times New Roman" w:hAnsi="Times New Roman"/>
          <w:b/>
          <w:sz w:val="24"/>
        </w:rPr>
      </w:pPr>
      <w:r>
        <w:rPr>
          <w:rFonts w:ascii="Times New Roman" w:hAnsi="Times New Roman"/>
          <w:b/>
          <w:sz w:val="24"/>
        </w:rPr>
        <w:t>İç Denetim Sonuçlarının Değerlendirilmesi</w:t>
      </w:r>
    </w:p>
    <w:p w:rsidR="006F2E96" w:rsidRDefault="00DC449A">
      <w:pPr>
        <w:pStyle w:val="ListeParagraf"/>
        <w:spacing w:line="276" w:lineRule="auto"/>
        <w:ind w:firstLine="708"/>
        <w:jc w:val="both"/>
        <w:rPr>
          <w:rFonts w:ascii="Times New Roman" w:hAnsi="Times New Roman"/>
          <w:sz w:val="24"/>
        </w:rPr>
      </w:pPr>
      <w:r>
        <w:rPr>
          <w:rFonts w:ascii="Times New Roman" w:hAnsi="Times New Roman"/>
          <w:sz w:val="24"/>
        </w:rPr>
        <w:t xml:space="preserve">Kalite Yönetim Temsilcisi, tüm birimlere ait iç denetimlerin tamamlanmasından sonra, denetim ekiplerinden gelen raporlar ile İlgili daire başkanlıklarının Üst Yönetimi ile YGG yapılarak paylaşılır. </w:t>
      </w:r>
    </w:p>
    <w:p w:rsidR="006F2E96" w:rsidRDefault="000A4476">
      <w:pPr>
        <w:pStyle w:val="ListeParagraf"/>
        <w:spacing w:line="276" w:lineRule="auto"/>
        <w:ind w:firstLine="708"/>
        <w:jc w:val="both"/>
        <w:rPr>
          <w:rFonts w:ascii="Times New Roman" w:hAnsi="Times New Roman"/>
          <w:sz w:val="24"/>
        </w:rPr>
      </w:pPr>
    </w:p>
    <w:p w:rsidR="006F2E96" w:rsidRDefault="00DC449A">
      <w:pPr>
        <w:pStyle w:val="ListeParagraf"/>
        <w:numPr>
          <w:ilvl w:val="1"/>
          <w:numId w:val="1"/>
        </w:numPr>
        <w:spacing w:line="276" w:lineRule="auto"/>
        <w:ind w:left="1440" w:hanging="360"/>
        <w:jc w:val="both"/>
        <w:rPr>
          <w:rFonts w:ascii="Times New Roman" w:hAnsi="Times New Roman"/>
          <w:b/>
          <w:sz w:val="24"/>
        </w:rPr>
      </w:pPr>
      <w:r>
        <w:rPr>
          <w:rFonts w:ascii="Times New Roman" w:hAnsi="Times New Roman"/>
          <w:b/>
          <w:sz w:val="24"/>
        </w:rPr>
        <w:lastRenderedPageBreak/>
        <w:t>Denetçi Kalifikasyonu</w:t>
      </w:r>
    </w:p>
    <w:p w:rsidR="006F2E96" w:rsidRDefault="00DC449A">
      <w:pPr>
        <w:pStyle w:val="ListeParagraf"/>
        <w:spacing w:line="276" w:lineRule="auto"/>
        <w:ind w:firstLine="708"/>
        <w:jc w:val="both"/>
        <w:rPr>
          <w:rFonts w:ascii="Times New Roman" w:hAnsi="Times New Roman"/>
          <w:sz w:val="24"/>
        </w:rPr>
      </w:pPr>
      <w:r>
        <w:rPr>
          <w:rFonts w:ascii="Times New Roman" w:hAnsi="Times New Roman"/>
          <w:sz w:val="24"/>
        </w:rPr>
        <w:t>İç Denetimlerinde görev alacak olan personel Kalite Yönetim Temsilcisi tarafından beli</w:t>
      </w:r>
    </w:p>
    <w:p w:rsidR="006F2E96" w:rsidRDefault="00DC449A">
      <w:pPr>
        <w:pStyle w:val="ListeParagraf"/>
        <w:numPr>
          <w:ilvl w:val="0"/>
          <w:numId w:val="4"/>
        </w:numPr>
        <w:spacing w:line="276" w:lineRule="auto"/>
        <w:ind w:left="2160"/>
        <w:jc w:val="both"/>
        <w:rPr>
          <w:rFonts w:ascii="Times New Roman" w:hAnsi="Times New Roman"/>
          <w:sz w:val="24"/>
        </w:rPr>
      </w:pPr>
      <w:r>
        <w:rPr>
          <w:rFonts w:ascii="Times New Roman" w:hAnsi="Times New Roman"/>
          <w:sz w:val="24"/>
        </w:rPr>
        <w:t>Kalite Bilgi Güvenliği Sistemi Tetkiklerinin yapılmasında esas alınan standartlar hakkında bilgi sahibi olan,</w:t>
      </w:r>
    </w:p>
    <w:p w:rsidR="006F2E96" w:rsidRDefault="00DC449A">
      <w:pPr>
        <w:pStyle w:val="ListeParagraf"/>
        <w:numPr>
          <w:ilvl w:val="0"/>
          <w:numId w:val="4"/>
        </w:numPr>
        <w:spacing w:line="276" w:lineRule="auto"/>
        <w:ind w:left="2160"/>
        <w:jc w:val="both"/>
        <w:rPr>
          <w:rFonts w:ascii="Times New Roman" w:hAnsi="Times New Roman"/>
          <w:sz w:val="24"/>
        </w:rPr>
      </w:pPr>
      <w:r>
        <w:rPr>
          <w:rFonts w:ascii="Times New Roman" w:hAnsi="Times New Roman"/>
          <w:sz w:val="24"/>
        </w:rPr>
        <w:t>İnceleme, soruşturma, değerlendirme ve rapor yazma ile ilgili tetkik tekniklerine sahip,</w:t>
      </w:r>
    </w:p>
    <w:p w:rsidR="006F2E96" w:rsidRDefault="00DC449A">
      <w:pPr>
        <w:pStyle w:val="ListeParagraf"/>
        <w:numPr>
          <w:ilvl w:val="0"/>
          <w:numId w:val="4"/>
        </w:numPr>
        <w:spacing w:line="276" w:lineRule="auto"/>
        <w:ind w:left="2160"/>
        <w:jc w:val="both"/>
        <w:rPr>
          <w:rFonts w:ascii="Times New Roman" w:hAnsi="Times New Roman"/>
          <w:sz w:val="24"/>
        </w:rPr>
      </w:pPr>
      <w:r>
        <w:rPr>
          <w:rFonts w:ascii="Times New Roman" w:hAnsi="Times New Roman"/>
          <w:sz w:val="24"/>
        </w:rPr>
        <w:t>Planlama, organize etme, iletişim ve yönlendirme gibi bir tetkik yönetimi için gerekli ek becerileri olan,</w:t>
      </w:r>
    </w:p>
    <w:p w:rsidR="006F2E96" w:rsidRDefault="00DC449A">
      <w:pPr>
        <w:pStyle w:val="ListeParagraf"/>
        <w:numPr>
          <w:ilvl w:val="0"/>
          <w:numId w:val="4"/>
        </w:numPr>
        <w:spacing w:line="276" w:lineRule="auto"/>
        <w:ind w:left="2160"/>
        <w:jc w:val="both"/>
        <w:rPr>
          <w:rFonts w:ascii="Times New Roman" w:hAnsi="Times New Roman"/>
          <w:sz w:val="24"/>
        </w:rPr>
      </w:pPr>
      <w:r>
        <w:rPr>
          <w:rFonts w:ascii="Times New Roman" w:hAnsi="Times New Roman"/>
          <w:sz w:val="24"/>
        </w:rPr>
        <w:t>İç Tetkik Görevlisi eğitimi almış,</w:t>
      </w:r>
    </w:p>
    <w:p w:rsidR="006F2E96" w:rsidRDefault="00DC449A">
      <w:pPr>
        <w:pStyle w:val="ListeParagraf"/>
        <w:spacing w:line="276" w:lineRule="auto"/>
        <w:ind w:firstLine="708"/>
        <w:jc w:val="both"/>
        <w:rPr>
          <w:rFonts w:ascii="Times New Roman" w:hAnsi="Times New Roman"/>
          <w:sz w:val="24"/>
        </w:rPr>
      </w:pPr>
      <w:r>
        <w:rPr>
          <w:rFonts w:ascii="Times New Roman" w:hAnsi="Times New Roman"/>
          <w:sz w:val="24"/>
        </w:rPr>
        <w:t xml:space="preserve">Kişiler arasından seçilir. İç Tetkik yapacak personelin denetlenen faaliyetle doğrudan sorumluluğu olmamasına, bağımsız olmasına dikkat edilir. </w:t>
      </w:r>
    </w:p>
    <w:p w:rsidR="006F2E96" w:rsidRDefault="000A4476">
      <w:pPr>
        <w:pStyle w:val="ListeParagraf"/>
        <w:spacing w:line="276" w:lineRule="auto"/>
        <w:jc w:val="both"/>
        <w:rPr>
          <w:rFonts w:ascii="Times New Roman" w:hAnsi="Times New Roman"/>
          <w:sz w:val="24"/>
        </w:rPr>
      </w:pPr>
    </w:p>
    <w:p w:rsidR="006F2E96" w:rsidRDefault="00DC449A">
      <w:pPr>
        <w:pStyle w:val="ListeParagraf"/>
        <w:numPr>
          <w:ilvl w:val="1"/>
          <w:numId w:val="1"/>
        </w:numPr>
        <w:spacing w:line="276" w:lineRule="auto"/>
        <w:ind w:left="1440" w:hanging="360"/>
        <w:jc w:val="both"/>
        <w:rPr>
          <w:rFonts w:ascii="Times New Roman" w:hAnsi="Times New Roman"/>
          <w:b/>
          <w:sz w:val="24"/>
        </w:rPr>
      </w:pPr>
      <w:r>
        <w:rPr>
          <w:rFonts w:ascii="Times New Roman" w:hAnsi="Times New Roman"/>
          <w:b/>
          <w:sz w:val="24"/>
        </w:rPr>
        <w:t>Değerlendirme Formları</w:t>
      </w:r>
    </w:p>
    <w:p w:rsidR="006F2E96" w:rsidRDefault="00DC449A">
      <w:pPr>
        <w:pStyle w:val="ListeParagraf"/>
        <w:spacing w:line="276" w:lineRule="auto"/>
        <w:ind w:firstLine="708"/>
        <w:jc w:val="both"/>
        <w:rPr>
          <w:rFonts w:ascii="Times New Roman" w:hAnsi="Times New Roman"/>
          <w:sz w:val="24"/>
        </w:rPr>
      </w:pPr>
      <w:r>
        <w:rPr>
          <w:rFonts w:ascii="Times New Roman" w:hAnsi="Times New Roman"/>
          <w:sz w:val="24"/>
        </w:rPr>
        <w:t xml:space="preserve">Denetim yapılan birimin üst yöneticisi, denetime gelen hem baş tetkikçiyi hem de tetkikçileri tek tek değerlendirdiği “ </w:t>
      </w:r>
      <w:r>
        <w:rPr>
          <w:rFonts w:ascii="Times New Roman" w:hAnsi="Times New Roman"/>
          <w:i/>
          <w:sz w:val="24"/>
        </w:rPr>
        <w:t>FR-029</w:t>
      </w:r>
      <w:r>
        <w:rPr>
          <w:rFonts w:ascii="Times New Roman" w:hAnsi="Times New Roman"/>
          <w:sz w:val="24"/>
        </w:rPr>
        <w:t xml:space="preserve"> </w:t>
      </w:r>
      <w:r>
        <w:rPr>
          <w:rFonts w:ascii="Times New Roman" w:hAnsi="Times New Roman"/>
          <w:i/>
          <w:sz w:val="24"/>
        </w:rPr>
        <w:t>Birimlerin İç Tetkik Görevlilerini Değerlendirme Formu</w:t>
      </w:r>
      <w:r>
        <w:rPr>
          <w:rFonts w:ascii="Times New Roman" w:hAnsi="Times New Roman"/>
          <w:sz w:val="24"/>
        </w:rPr>
        <w:t>” anketi, denetim sonrasında Kalite Yönetim Temsilcisinin talep ettiği tarihlerde Kalite Yönetim Temsilcisine üst yazı ile gönderir.</w:t>
      </w:r>
    </w:p>
    <w:p w:rsidR="006F2E96" w:rsidRDefault="000A4476">
      <w:pPr>
        <w:pStyle w:val="ListeParagraf"/>
        <w:spacing w:line="276" w:lineRule="auto"/>
        <w:jc w:val="both"/>
        <w:rPr>
          <w:rFonts w:ascii="Times New Roman" w:hAnsi="Times New Roman"/>
          <w:b/>
          <w:sz w:val="24"/>
        </w:rPr>
      </w:pPr>
    </w:p>
    <w:p w:rsidR="006F2E96" w:rsidRDefault="00DC449A">
      <w:pPr>
        <w:pStyle w:val="ListeParagraf"/>
        <w:numPr>
          <w:ilvl w:val="0"/>
          <w:numId w:val="1"/>
        </w:numPr>
        <w:spacing w:line="276" w:lineRule="auto"/>
        <w:ind w:left="720"/>
        <w:jc w:val="both"/>
        <w:rPr>
          <w:rFonts w:ascii="Times New Roman" w:hAnsi="Times New Roman"/>
          <w:b/>
          <w:sz w:val="24"/>
        </w:rPr>
      </w:pPr>
      <w:r>
        <w:rPr>
          <w:rFonts w:ascii="Times New Roman" w:hAnsi="Times New Roman"/>
          <w:b/>
          <w:sz w:val="24"/>
        </w:rPr>
        <w:t>İLGİLİ DOKÜMANLAR</w:t>
      </w:r>
    </w:p>
    <w:p w:rsidR="006F2E96" w:rsidRDefault="00DC449A">
      <w:pPr>
        <w:pStyle w:val="ListeParagraf"/>
        <w:numPr>
          <w:ilvl w:val="0"/>
          <w:numId w:val="5"/>
        </w:numPr>
        <w:spacing w:line="276" w:lineRule="auto"/>
        <w:jc w:val="both"/>
        <w:rPr>
          <w:rFonts w:ascii="Times New Roman" w:hAnsi="Times New Roman"/>
          <w:sz w:val="24"/>
        </w:rPr>
      </w:pPr>
      <w:r>
        <w:rPr>
          <w:rFonts w:ascii="Times New Roman" w:hAnsi="Times New Roman"/>
          <w:sz w:val="24"/>
        </w:rPr>
        <w:t xml:space="preserve">RPR-005 İç Tetkik Raporu </w:t>
      </w:r>
    </w:p>
    <w:p w:rsidR="006F2E96" w:rsidRDefault="00DC449A">
      <w:pPr>
        <w:pStyle w:val="ListeParagraf"/>
        <w:numPr>
          <w:ilvl w:val="0"/>
          <w:numId w:val="5"/>
        </w:numPr>
        <w:spacing w:line="276" w:lineRule="auto"/>
        <w:jc w:val="both"/>
        <w:rPr>
          <w:rFonts w:ascii="Times New Roman" w:hAnsi="Times New Roman"/>
          <w:sz w:val="24"/>
        </w:rPr>
      </w:pPr>
      <w:r>
        <w:rPr>
          <w:rFonts w:ascii="Times New Roman" w:hAnsi="Times New Roman"/>
          <w:sz w:val="24"/>
        </w:rPr>
        <w:t>LST-002 BGYS İç tetkik Soru Listesi</w:t>
      </w:r>
    </w:p>
    <w:p w:rsidR="006F2E96" w:rsidRDefault="00DC449A">
      <w:pPr>
        <w:pStyle w:val="ListeParagraf"/>
        <w:numPr>
          <w:ilvl w:val="0"/>
          <w:numId w:val="5"/>
        </w:numPr>
        <w:spacing w:line="276" w:lineRule="auto"/>
        <w:jc w:val="both"/>
        <w:rPr>
          <w:rFonts w:ascii="Times New Roman" w:hAnsi="Times New Roman"/>
          <w:sz w:val="24"/>
        </w:rPr>
      </w:pPr>
      <w:r>
        <w:rPr>
          <w:rFonts w:ascii="Times New Roman" w:hAnsi="Times New Roman"/>
          <w:sz w:val="24"/>
        </w:rPr>
        <w:t xml:space="preserve">LST-018 KYS İç Denerim Soru Listesi </w:t>
      </w:r>
    </w:p>
    <w:p w:rsidR="006F2E96" w:rsidRDefault="00DC449A">
      <w:pPr>
        <w:pStyle w:val="ListeParagraf"/>
        <w:numPr>
          <w:ilvl w:val="0"/>
          <w:numId w:val="5"/>
        </w:numPr>
        <w:spacing w:line="276" w:lineRule="auto"/>
        <w:jc w:val="both"/>
        <w:rPr>
          <w:rFonts w:ascii="Times New Roman" w:hAnsi="Times New Roman"/>
          <w:sz w:val="24"/>
        </w:rPr>
      </w:pPr>
      <w:r>
        <w:rPr>
          <w:rFonts w:ascii="Times New Roman" w:hAnsi="Times New Roman"/>
          <w:sz w:val="24"/>
        </w:rPr>
        <w:t xml:space="preserve">LST-019 İç Tetkik Görevlileri Listesi </w:t>
      </w:r>
    </w:p>
    <w:p w:rsidR="006F2E96" w:rsidRDefault="00DC449A">
      <w:pPr>
        <w:pStyle w:val="ListeParagraf"/>
        <w:numPr>
          <w:ilvl w:val="0"/>
          <w:numId w:val="5"/>
        </w:numPr>
        <w:spacing w:line="276" w:lineRule="auto"/>
        <w:jc w:val="both"/>
        <w:rPr>
          <w:rFonts w:ascii="Times New Roman" w:hAnsi="Times New Roman"/>
          <w:sz w:val="24"/>
        </w:rPr>
      </w:pPr>
      <w:r>
        <w:rPr>
          <w:rFonts w:ascii="Times New Roman" w:hAnsi="Times New Roman"/>
          <w:sz w:val="24"/>
        </w:rPr>
        <w:t>LST-020 Düzeltici Faaliyet (DİF) Takip Listesi</w:t>
      </w:r>
    </w:p>
    <w:p w:rsidR="006F2E96" w:rsidRDefault="00DC449A">
      <w:pPr>
        <w:pStyle w:val="ListeParagraf"/>
        <w:numPr>
          <w:ilvl w:val="0"/>
          <w:numId w:val="5"/>
        </w:numPr>
        <w:spacing w:line="276" w:lineRule="auto"/>
        <w:jc w:val="both"/>
        <w:rPr>
          <w:rFonts w:ascii="Times New Roman" w:hAnsi="Times New Roman"/>
          <w:sz w:val="24"/>
        </w:rPr>
      </w:pPr>
      <w:r>
        <w:rPr>
          <w:rFonts w:ascii="Times New Roman" w:hAnsi="Times New Roman"/>
          <w:sz w:val="24"/>
        </w:rPr>
        <w:t xml:space="preserve">FR-027 İç Tetkik Toplantı Katılım Tutanağı Formu </w:t>
      </w:r>
    </w:p>
    <w:p w:rsidR="006F2E96" w:rsidRDefault="00DC449A">
      <w:pPr>
        <w:pStyle w:val="ListeParagraf"/>
        <w:numPr>
          <w:ilvl w:val="0"/>
          <w:numId w:val="5"/>
        </w:numPr>
        <w:spacing w:line="276" w:lineRule="auto"/>
        <w:jc w:val="both"/>
        <w:rPr>
          <w:rFonts w:ascii="Times New Roman" w:hAnsi="Times New Roman"/>
          <w:sz w:val="24"/>
        </w:rPr>
      </w:pPr>
      <w:r>
        <w:rPr>
          <w:rFonts w:ascii="Times New Roman" w:hAnsi="Times New Roman"/>
          <w:sz w:val="24"/>
        </w:rPr>
        <w:t>FR-028 İç Tetkik Ziyaret Programı Formu</w:t>
      </w:r>
    </w:p>
    <w:p w:rsidR="006F2E96" w:rsidRDefault="00DC449A">
      <w:pPr>
        <w:pStyle w:val="ListeParagraf"/>
        <w:numPr>
          <w:ilvl w:val="0"/>
          <w:numId w:val="5"/>
        </w:numPr>
        <w:spacing w:line="276" w:lineRule="auto"/>
        <w:jc w:val="both"/>
        <w:rPr>
          <w:rFonts w:ascii="Times New Roman" w:hAnsi="Times New Roman"/>
          <w:sz w:val="24"/>
        </w:rPr>
      </w:pPr>
      <w:r>
        <w:rPr>
          <w:rFonts w:ascii="Times New Roman" w:hAnsi="Times New Roman"/>
          <w:sz w:val="24"/>
        </w:rPr>
        <w:t>FR-029 Birimlerin İç Tetkik Görevlilerini Değerlendirme Formu</w:t>
      </w:r>
    </w:p>
    <w:p w:rsidR="006F2E96" w:rsidRDefault="00DC449A">
      <w:pPr>
        <w:pStyle w:val="ListeParagraf"/>
        <w:numPr>
          <w:ilvl w:val="0"/>
          <w:numId w:val="5"/>
        </w:numPr>
        <w:spacing w:line="276" w:lineRule="auto"/>
        <w:jc w:val="both"/>
        <w:rPr>
          <w:rFonts w:ascii="Times New Roman" w:hAnsi="Times New Roman"/>
          <w:sz w:val="24"/>
        </w:rPr>
      </w:pPr>
      <w:r>
        <w:rPr>
          <w:rFonts w:ascii="Times New Roman" w:hAnsi="Times New Roman"/>
          <w:sz w:val="24"/>
        </w:rPr>
        <w:t>FR-030 DİF Formu</w:t>
      </w:r>
    </w:p>
    <w:p w:rsidR="006F2E96" w:rsidRDefault="00DC449A">
      <w:pPr>
        <w:pStyle w:val="ListeParagraf"/>
        <w:numPr>
          <w:ilvl w:val="0"/>
          <w:numId w:val="5"/>
        </w:numPr>
        <w:spacing w:line="276" w:lineRule="auto"/>
        <w:jc w:val="both"/>
        <w:rPr>
          <w:rFonts w:ascii="Times New Roman" w:hAnsi="Times New Roman"/>
          <w:sz w:val="24"/>
        </w:rPr>
      </w:pPr>
      <w:r>
        <w:rPr>
          <w:rFonts w:ascii="Times New Roman" w:hAnsi="Times New Roman"/>
          <w:sz w:val="24"/>
        </w:rPr>
        <w:t>PL-006 İç Tetkik Planı</w:t>
      </w:r>
    </w:p>
    <w:p w:rsidR="009E00FB" w:rsidRDefault="009E00FB" w:rsidP="009E00FB">
      <w:pPr>
        <w:pStyle w:val="ListeParagraf"/>
        <w:numPr>
          <w:ilvl w:val="0"/>
          <w:numId w:val="5"/>
        </w:numPr>
        <w:spacing w:line="276" w:lineRule="auto"/>
        <w:jc w:val="both"/>
        <w:rPr>
          <w:rFonts w:ascii="Times New Roman" w:hAnsi="Times New Roman"/>
          <w:sz w:val="24"/>
        </w:rPr>
      </w:pPr>
      <w:proofErr w:type="spellStart"/>
      <w:r>
        <w:rPr>
          <w:rFonts w:ascii="Times New Roman" w:hAnsi="Times New Roman"/>
          <w:sz w:val="24"/>
        </w:rPr>
        <w:t>EnYS</w:t>
      </w:r>
      <w:proofErr w:type="spellEnd"/>
      <w:r>
        <w:rPr>
          <w:rFonts w:ascii="Times New Roman" w:hAnsi="Times New Roman"/>
          <w:sz w:val="24"/>
        </w:rPr>
        <w:t xml:space="preserve"> İç Tetkik Soru Listesi</w:t>
      </w:r>
    </w:p>
    <w:p w:rsidR="009E00FB" w:rsidRDefault="009E00FB" w:rsidP="009E00FB">
      <w:pPr>
        <w:pStyle w:val="ListeParagraf"/>
        <w:spacing w:line="276" w:lineRule="auto"/>
        <w:ind w:left="1080"/>
        <w:jc w:val="both"/>
        <w:rPr>
          <w:rFonts w:ascii="Times New Roman" w:hAnsi="Times New Roman"/>
          <w:sz w:val="24"/>
        </w:rPr>
      </w:pPr>
    </w:p>
    <w:p w:rsidR="00573E48" w:rsidRDefault="00573E48" w:rsidP="00573E48">
      <w:pPr>
        <w:pStyle w:val="ListeParagraf"/>
        <w:spacing w:line="276" w:lineRule="auto"/>
        <w:ind w:left="1080"/>
        <w:jc w:val="both"/>
        <w:rPr>
          <w:rFonts w:ascii="Times New Roman" w:hAnsi="Times New Roman"/>
          <w:sz w:val="24"/>
        </w:rPr>
      </w:pPr>
    </w:p>
    <w:p w:rsidR="006F2E96" w:rsidRDefault="00DC449A" w:rsidP="00573E48">
      <w:pPr>
        <w:pStyle w:val="ListeParagraf"/>
        <w:numPr>
          <w:ilvl w:val="0"/>
          <w:numId w:val="1"/>
        </w:numPr>
        <w:rPr>
          <w:rFonts w:ascii="Times New Roman" w:hAnsi="Times New Roman"/>
          <w:sz w:val="24"/>
        </w:rPr>
      </w:pPr>
      <w:r>
        <w:rPr>
          <w:rFonts w:ascii="Times New Roman" w:hAnsi="Times New Roman"/>
          <w:b/>
          <w:sz w:val="24"/>
        </w:rPr>
        <w:t>REVİZYON TAKİP TABLOSU</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206"/>
        <w:gridCol w:w="1842"/>
        <w:gridCol w:w="5870"/>
      </w:tblGrid>
      <w:tr w:rsidR="006F2E96" w:rsidTr="00350E7C">
        <w:trPr>
          <w:trHeight w:val="170"/>
          <w:jc w:val="center"/>
        </w:trPr>
        <w:tc>
          <w:tcPr>
            <w:tcW w:w="2206" w:type="dxa"/>
            <w:tcBorders>
              <w:top w:val="single" w:sz="4" w:space="0" w:color="auto"/>
              <w:left w:val="single" w:sz="4" w:space="0" w:color="auto"/>
              <w:bottom w:val="single" w:sz="4" w:space="0" w:color="auto"/>
              <w:right w:val="single" w:sz="4" w:space="0" w:color="auto"/>
            </w:tcBorders>
            <w:vAlign w:val="center"/>
            <w:hideMark/>
          </w:tcPr>
          <w:p w:rsidR="006F2E96" w:rsidRDefault="00DC449A">
            <w:pPr>
              <w:spacing w:line="276" w:lineRule="auto"/>
              <w:rPr>
                <w:b/>
              </w:rPr>
            </w:pPr>
            <w:r>
              <w:rPr>
                <w:b/>
              </w:rPr>
              <w:t xml:space="preserve">REVİZYON NO     </w:t>
            </w:r>
          </w:p>
        </w:tc>
        <w:tc>
          <w:tcPr>
            <w:tcW w:w="1842" w:type="dxa"/>
            <w:tcBorders>
              <w:top w:val="single" w:sz="4" w:space="0" w:color="auto"/>
              <w:left w:val="single" w:sz="4" w:space="0" w:color="auto"/>
              <w:bottom w:val="single" w:sz="4" w:space="0" w:color="auto"/>
              <w:right w:val="single" w:sz="4" w:space="0" w:color="auto"/>
            </w:tcBorders>
            <w:vAlign w:val="center"/>
            <w:hideMark/>
          </w:tcPr>
          <w:p w:rsidR="006F2E96" w:rsidRDefault="00DC449A">
            <w:pPr>
              <w:spacing w:line="276" w:lineRule="auto"/>
              <w:rPr>
                <w:b/>
              </w:rPr>
            </w:pPr>
            <w:r>
              <w:rPr>
                <w:b/>
              </w:rPr>
              <w:t>TARİH</w:t>
            </w:r>
          </w:p>
        </w:tc>
        <w:tc>
          <w:tcPr>
            <w:tcW w:w="5870" w:type="dxa"/>
            <w:tcBorders>
              <w:top w:val="single" w:sz="4" w:space="0" w:color="auto"/>
              <w:left w:val="single" w:sz="4" w:space="0" w:color="auto"/>
              <w:bottom w:val="single" w:sz="4" w:space="0" w:color="auto"/>
              <w:right w:val="single" w:sz="4" w:space="0" w:color="auto"/>
            </w:tcBorders>
            <w:vAlign w:val="center"/>
            <w:hideMark/>
          </w:tcPr>
          <w:p w:rsidR="006F2E96" w:rsidRDefault="00DC449A">
            <w:pPr>
              <w:spacing w:line="276" w:lineRule="auto"/>
              <w:rPr>
                <w:b/>
              </w:rPr>
            </w:pPr>
            <w:r>
              <w:rPr>
                <w:b/>
              </w:rPr>
              <w:t>AÇIKLAMA</w:t>
            </w:r>
          </w:p>
        </w:tc>
      </w:tr>
      <w:tr w:rsidR="006F2E96" w:rsidTr="00350E7C">
        <w:trPr>
          <w:trHeight w:val="170"/>
          <w:jc w:val="center"/>
        </w:trPr>
        <w:tc>
          <w:tcPr>
            <w:tcW w:w="2206" w:type="dxa"/>
            <w:tcBorders>
              <w:top w:val="single" w:sz="4" w:space="0" w:color="auto"/>
              <w:left w:val="single" w:sz="4" w:space="0" w:color="auto"/>
              <w:bottom w:val="single" w:sz="4" w:space="0" w:color="auto"/>
              <w:right w:val="single" w:sz="4" w:space="0" w:color="auto"/>
            </w:tcBorders>
            <w:vAlign w:val="center"/>
            <w:hideMark/>
          </w:tcPr>
          <w:p w:rsidR="006F2E96" w:rsidRDefault="00DC449A">
            <w:pPr>
              <w:spacing w:line="276" w:lineRule="auto"/>
            </w:pPr>
            <w:r>
              <w:t>00</w:t>
            </w:r>
          </w:p>
        </w:tc>
        <w:tc>
          <w:tcPr>
            <w:tcW w:w="1842" w:type="dxa"/>
            <w:tcBorders>
              <w:top w:val="single" w:sz="4" w:space="0" w:color="auto"/>
              <w:left w:val="single" w:sz="4" w:space="0" w:color="auto"/>
              <w:bottom w:val="single" w:sz="4" w:space="0" w:color="auto"/>
              <w:right w:val="single" w:sz="4" w:space="0" w:color="auto"/>
            </w:tcBorders>
            <w:vAlign w:val="center"/>
            <w:hideMark/>
          </w:tcPr>
          <w:p w:rsidR="006F2E96" w:rsidRDefault="00DC449A">
            <w:pPr>
              <w:spacing w:line="276" w:lineRule="auto"/>
            </w:pPr>
            <w:r>
              <w:t>03.08.2020</w:t>
            </w:r>
          </w:p>
        </w:tc>
        <w:tc>
          <w:tcPr>
            <w:tcW w:w="5870" w:type="dxa"/>
            <w:tcBorders>
              <w:top w:val="single" w:sz="4" w:space="0" w:color="auto"/>
              <w:left w:val="single" w:sz="4" w:space="0" w:color="auto"/>
              <w:bottom w:val="single" w:sz="4" w:space="0" w:color="auto"/>
              <w:right w:val="single" w:sz="4" w:space="0" w:color="auto"/>
            </w:tcBorders>
            <w:vAlign w:val="center"/>
            <w:hideMark/>
          </w:tcPr>
          <w:p w:rsidR="006F2E96" w:rsidRDefault="00DC449A">
            <w:pPr>
              <w:spacing w:line="276" w:lineRule="auto"/>
            </w:pPr>
            <w:r>
              <w:t>İlk yayın.</w:t>
            </w:r>
          </w:p>
        </w:tc>
      </w:tr>
      <w:tr w:rsidR="006F2E96" w:rsidTr="00350E7C">
        <w:trPr>
          <w:trHeight w:val="170"/>
          <w:jc w:val="center"/>
        </w:trPr>
        <w:tc>
          <w:tcPr>
            <w:tcW w:w="2206" w:type="dxa"/>
            <w:tcBorders>
              <w:top w:val="single" w:sz="4" w:space="0" w:color="auto"/>
              <w:left w:val="single" w:sz="4" w:space="0" w:color="auto"/>
              <w:bottom w:val="single" w:sz="4" w:space="0" w:color="auto"/>
              <w:right w:val="single" w:sz="4" w:space="0" w:color="auto"/>
            </w:tcBorders>
            <w:vAlign w:val="center"/>
          </w:tcPr>
          <w:p w:rsidR="006F2E96" w:rsidRDefault="00DC449A">
            <w:pPr>
              <w:spacing w:after="160" w:line="276" w:lineRule="auto"/>
            </w:pPr>
            <w:r>
              <w:t>001</w:t>
            </w:r>
          </w:p>
        </w:tc>
        <w:tc>
          <w:tcPr>
            <w:tcW w:w="1842" w:type="dxa"/>
            <w:tcBorders>
              <w:top w:val="single" w:sz="4" w:space="0" w:color="auto"/>
              <w:left w:val="single" w:sz="4" w:space="0" w:color="auto"/>
              <w:bottom w:val="single" w:sz="4" w:space="0" w:color="auto"/>
              <w:right w:val="single" w:sz="4" w:space="0" w:color="auto"/>
            </w:tcBorders>
            <w:vAlign w:val="center"/>
          </w:tcPr>
          <w:p w:rsidR="006F2E96" w:rsidRDefault="00DC449A">
            <w:pPr>
              <w:spacing w:line="276" w:lineRule="auto"/>
            </w:pPr>
            <w:r>
              <w:t>09.09.2022</w:t>
            </w:r>
          </w:p>
        </w:tc>
        <w:tc>
          <w:tcPr>
            <w:tcW w:w="5870" w:type="dxa"/>
            <w:tcBorders>
              <w:top w:val="single" w:sz="4" w:space="0" w:color="auto"/>
              <w:left w:val="single" w:sz="4" w:space="0" w:color="auto"/>
              <w:bottom w:val="single" w:sz="4" w:space="0" w:color="auto"/>
              <w:right w:val="single" w:sz="4" w:space="0" w:color="auto"/>
            </w:tcBorders>
            <w:vAlign w:val="center"/>
          </w:tcPr>
          <w:p w:rsidR="006F2E96" w:rsidRDefault="00DC449A">
            <w:pPr>
              <w:spacing w:after="160"/>
            </w:pPr>
            <w:r>
              <w:t>EYS ( BGYS, KYS, İSYS, HYS) kurularak  dokumanlar tek bir standart ile toplanmış ve tanımlar kısmında belirtilmiştir.</w:t>
            </w:r>
          </w:p>
          <w:p w:rsidR="006F2E96" w:rsidRDefault="000A4476">
            <w:pPr>
              <w:spacing w:line="276" w:lineRule="auto"/>
            </w:pPr>
          </w:p>
        </w:tc>
      </w:tr>
      <w:tr w:rsidR="00350E7C" w:rsidTr="00350E7C">
        <w:trPr>
          <w:trHeight w:val="170"/>
          <w:jc w:val="center"/>
        </w:trPr>
        <w:tc>
          <w:tcPr>
            <w:tcW w:w="2206" w:type="dxa"/>
            <w:tcBorders>
              <w:top w:val="single" w:sz="4" w:space="0" w:color="auto"/>
              <w:left w:val="single" w:sz="4" w:space="0" w:color="auto"/>
              <w:bottom w:val="single" w:sz="4" w:space="0" w:color="auto"/>
              <w:right w:val="single" w:sz="4" w:space="0" w:color="auto"/>
            </w:tcBorders>
            <w:vAlign w:val="center"/>
          </w:tcPr>
          <w:p w:rsidR="00350E7C" w:rsidRDefault="00350E7C" w:rsidP="00350E7C">
            <w:pPr>
              <w:spacing w:after="160" w:line="252" w:lineRule="auto"/>
              <w:rPr>
                <w:lang w:eastAsia="en-US"/>
              </w:rPr>
            </w:pPr>
            <w:r>
              <w:rPr>
                <w:lang w:eastAsia="en-US"/>
              </w:rPr>
              <w:lastRenderedPageBreak/>
              <w:t>002</w:t>
            </w:r>
          </w:p>
        </w:tc>
        <w:tc>
          <w:tcPr>
            <w:tcW w:w="1842" w:type="dxa"/>
            <w:tcBorders>
              <w:top w:val="single" w:sz="4" w:space="0" w:color="auto"/>
              <w:left w:val="single" w:sz="4" w:space="0" w:color="auto"/>
              <w:bottom w:val="single" w:sz="4" w:space="0" w:color="auto"/>
              <w:right w:val="single" w:sz="4" w:space="0" w:color="auto"/>
            </w:tcBorders>
            <w:vAlign w:val="center"/>
          </w:tcPr>
          <w:p w:rsidR="00350E7C" w:rsidRDefault="00350E7C" w:rsidP="00350E7C">
            <w:pPr>
              <w:spacing w:after="160" w:line="252" w:lineRule="auto"/>
              <w:rPr>
                <w:lang w:eastAsia="en-US"/>
              </w:rPr>
            </w:pPr>
            <w:r>
              <w:rPr>
                <w:lang w:eastAsia="en-US"/>
              </w:rPr>
              <w:t>22.01.2024</w:t>
            </w:r>
          </w:p>
        </w:tc>
        <w:tc>
          <w:tcPr>
            <w:tcW w:w="5870" w:type="dxa"/>
            <w:tcBorders>
              <w:top w:val="single" w:sz="4" w:space="0" w:color="auto"/>
              <w:left w:val="single" w:sz="4" w:space="0" w:color="auto"/>
              <w:bottom w:val="single" w:sz="4" w:space="0" w:color="auto"/>
              <w:right w:val="single" w:sz="4" w:space="0" w:color="auto"/>
            </w:tcBorders>
            <w:vAlign w:val="center"/>
          </w:tcPr>
          <w:p w:rsidR="00350E7C" w:rsidRDefault="00350E7C" w:rsidP="00350E7C">
            <w:pPr>
              <w:spacing w:after="160" w:line="252" w:lineRule="auto"/>
              <w:rPr>
                <w:lang w:eastAsia="en-US"/>
              </w:rPr>
            </w:pPr>
            <w:r>
              <w:rPr>
                <w:lang w:eastAsia="en-US"/>
              </w:rPr>
              <w:t xml:space="preserve"> Kontrol kısmı güncellenmiştir.</w:t>
            </w:r>
          </w:p>
        </w:tc>
      </w:tr>
      <w:tr w:rsidR="007E30C4" w:rsidTr="00350E7C">
        <w:trPr>
          <w:trHeight w:val="170"/>
          <w:jc w:val="center"/>
        </w:trPr>
        <w:tc>
          <w:tcPr>
            <w:tcW w:w="2206" w:type="dxa"/>
            <w:tcBorders>
              <w:top w:val="single" w:sz="4" w:space="0" w:color="auto"/>
              <w:left w:val="single" w:sz="4" w:space="0" w:color="auto"/>
              <w:bottom w:val="single" w:sz="4" w:space="0" w:color="auto"/>
              <w:right w:val="single" w:sz="4" w:space="0" w:color="auto"/>
            </w:tcBorders>
            <w:vAlign w:val="center"/>
          </w:tcPr>
          <w:p w:rsidR="007E30C4" w:rsidRDefault="007E30C4" w:rsidP="00350E7C">
            <w:pPr>
              <w:spacing w:after="160" w:line="252" w:lineRule="auto"/>
              <w:rPr>
                <w:lang w:eastAsia="en-US"/>
              </w:rPr>
            </w:pPr>
            <w:r>
              <w:rPr>
                <w:lang w:eastAsia="en-US"/>
              </w:rPr>
              <w:t>003</w:t>
            </w:r>
          </w:p>
        </w:tc>
        <w:tc>
          <w:tcPr>
            <w:tcW w:w="1842" w:type="dxa"/>
            <w:tcBorders>
              <w:top w:val="single" w:sz="4" w:space="0" w:color="auto"/>
              <w:left w:val="single" w:sz="4" w:space="0" w:color="auto"/>
              <w:bottom w:val="single" w:sz="4" w:space="0" w:color="auto"/>
              <w:right w:val="single" w:sz="4" w:space="0" w:color="auto"/>
            </w:tcBorders>
            <w:vAlign w:val="center"/>
          </w:tcPr>
          <w:p w:rsidR="007E30C4" w:rsidRDefault="007D3E93" w:rsidP="00350E7C">
            <w:pPr>
              <w:spacing w:after="160" w:line="252" w:lineRule="auto"/>
              <w:rPr>
                <w:lang w:eastAsia="en-US"/>
              </w:rPr>
            </w:pPr>
            <w:r>
              <w:rPr>
                <w:lang w:eastAsia="en-US"/>
              </w:rPr>
              <w:t>22.12</w:t>
            </w:r>
            <w:r w:rsidR="007E30C4">
              <w:rPr>
                <w:lang w:eastAsia="en-US"/>
              </w:rPr>
              <w:t>.2024</w:t>
            </w:r>
          </w:p>
        </w:tc>
        <w:tc>
          <w:tcPr>
            <w:tcW w:w="5870" w:type="dxa"/>
            <w:tcBorders>
              <w:top w:val="single" w:sz="4" w:space="0" w:color="auto"/>
              <w:left w:val="single" w:sz="4" w:space="0" w:color="auto"/>
              <w:bottom w:val="single" w:sz="4" w:space="0" w:color="auto"/>
              <w:right w:val="single" w:sz="4" w:space="0" w:color="auto"/>
            </w:tcBorders>
            <w:vAlign w:val="center"/>
          </w:tcPr>
          <w:p w:rsidR="007E30C4" w:rsidRDefault="007E30C4" w:rsidP="00350E7C">
            <w:pPr>
              <w:spacing w:after="160" w:line="252" w:lineRule="auto"/>
              <w:rPr>
                <w:lang w:eastAsia="en-US"/>
              </w:rPr>
            </w:pPr>
            <w:r>
              <w:rPr>
                <w:lang w:eastAsia="en-US"/>
              </w:rPr>
              <w:t xml:space="preserve">Tanımlar kısmında </w:t>
            </w:r>
            <w:r w:rsidRPr="007E30C4">
              <w:rPr>
                <w:lang w:eastAsia="en-US"/>
              </w:rPr>
              <w:t xml:space="preserve">EYS: Entegre Yönetim Sistemi ( BGYS, KYS, </w:t>
            </w:r>
            <w:proofErr w:type="gramStart"/>
            <w:r w:rsidRPr="007E30C4">
              <w:rPr>
                <w:lang w:eastAsia="en-US"/>
              </w:rPr>
              <w:t>HYS,İSYS</w:t>
            </w:r>
            <w:proofErr w:type="gramEnd"/>
            <w:r w:rsidRPr="007E30C4">
              <w:rPr>
                <w:lang w:eastAsia="en-US"/>
              </w:rPr>
              <w:t>,KVYS)</w:t>
            </w:r>
            <w:r>
              <w:rPr>
                <w:lang w:eastAsia="en-US"/>
              </w:rPr>
              <w:t xml:space="preserve"> olarak güncellenmiştir.</w:t>
            </w:r>
          </w:p>
        </w:tc>
      </w:tr>
      <w:tr w:rsidR="009E00FB" w:rsidTr="00350E7C">
        <w:trPr>
          <w:trHeight w:val="170"/>
          <w:jc w:val="center"/>
        </w:trPr>
        <w:tc>
          <w:tcPr>
            <w:tcW w:w="2206" w:type="dxa"/>
            <w:tcBorders>
              <w:top w:val="single" w:sz="4" w:space="0" w:color="auto"/>
              <w:left w:val="single" w:sz="4" w:space="0" w:color="auto"/>
              <w:bottom w:val="single" w:sz="4" w:space="0" w:color="auto"/>
              <w:right w:val="single" w:sz="4" w:space="0" w:color="auto"/>
            </w:tcBorders>
            <w:vAlign w:val="center"/>
          </w:tcPr>
          <w:p w:rsidR="009E00FB" w:rsidRDefault="009E00FB" w:rsidP="00350E7C">
            <w:pPr>
              <w:spacing w:after="160" w:line="252" w:lineRule="auto"/>
              <w:rPr>
                <w:lang w:eastAsia="en-US"/>
              </w:rPr>
            </w:pPr>
            <w:r>
              <w:rPr>
                <w:lang w:eastAsia="en-US"/>
              </w:rPr>
              <w:t>004</w:t>
            </w:r>
          </w:p>
        </w:tc>
        <w:tc>
          <w:tcPr>
            <w:tcW w:w="1842" w:type="dxa"/>
            <w:tcBorders>
              <w:top w:val="single" w:sz="4" w:space="0" w:color="auto"/>
              <w:left w:val="single" w:sz="4" w:space="0" w:color="auto"/>
              <w:bottom w:val="single" w:sz="4" w:space="0" w:color="auto"/>
              <w:right w:val="single" w:sz="4" w:space="0" w:color="auto"/>
            </w:tcBorders>
            <w:vAlign w:val="center"/>
          </w:tcPr>
          <w:p w:rsidR="009E00FB" w:rsidRDefault="004304A9" w:rsidP="00350E7C">
            <w:pPr>
              <w:spacing w:after="160" w:line="252" w:lineRule="auto"/>
              <w:rPr>
                <w:lang w:eastAsia="en-US"/>
              </w:rPr>
            </w:pPr>
            <w:r>
              <w:rPr>
                <w:lang w:eastAsia="en-US"/>
              </w:rPr>
              <w:t>04.08.2025</w:t>
            </w:r>
          </w:p>
        </w:tc>
        <w:tc>
          <w:tcPr>
            <w:tcW w:w="5870" w:type="dxa"/>
            <w:tcBorders>
              <w:top w:val="single" w:sz="4" w:space="0" w:color="auto"/>
              <w:left w:val="single" w:sz="4" w:space="0" w:color="auto"/>
              <w:bottom w:val="single" w:sz="4" w:space="0" w:color="auto"/>
              <w:right w:val="single" w:sz="4" w:space="0" w:color="auto"/>
            </w:tcBorders>
            <w:vAlign w:val="center"/>
          </w:tcPr>
          <w:p w:rsidR="009E00FB" w:rsidRDefault="009E00FB" w:rsidP="00350E7C">
            <w:pPr>
              <w:spacing w:after="160" w:line="252" w:lineRule="auto"/>
              <w:rPr>
                <w:lang w:eastAsia="en-US"/>
              </w:rPr>
            </w:pPr>
            <w:r>
              <w:rPr>
                <w:lang w:eastAsia="en-US"/>
              </w:rPr>
              <w:t xml:space="preserve">Tanımlar kısmında </w:t>
            </w:r>
            <w:r w:rsidRPr="007E30C4">
              <w:rPr>
                <w:lang w:eastAsia="en-US"/>
              </w:rPr>
              <w:t>EYS: Entegre Yönetim Sistemi ( BGYS, KYS, HYS,</w:t>
            </w:r>
            <w:r>
              <w:rPr>
                <w:lang w:eastAsia="en-US"/>
              </w:rPr>
              <w:t xml:space="preserve"> </w:t>
            </w:r>
            <w:r w:rsidRPr="007E30C4">
              <w:rPr>
                <w:lang w:eastAsia="en-US"/>
              </w:rPr>
              <w:t>İSYS,</w:t>
            </w:r>
            <w:r>
              <w:rPr>
                <w:lang w:eastAsia="en-US"/>
              </w:rPr>
              <w:t xml:space="preserve"> </w:t>
            </w:r>
            <w:r w:rsidRPr="007E30C4">
              <w:rPr>
                <w:lang w:eastAsia="en-US"/>
              </w:rPr>
              <w:t>KVYS</w:t>
            </w:r>
            <w:r>
              <w:rPr>
                <w:lang w:eastAsia="en-US"/>
              </w:rPr>
              <w:t xml:space="preserve">, </w:t>
            </w:r>
            <w:proofErr w:type="spellStart"/>
            <w:r>
              <w:rPr>
                <w:lang w:eastAsia="en-US"/>
              </w:rPr>
              <w:t>EnYS</w:t>
            </w:r>
            <w:proofErr w:type="spellEnd"/>
            <w:r w:rsidRPr="007E30C4">
              <w:rPr>
                <w:lang w:eastAsia="en-US"/>
              </w:rPr>
              <w:t>)</w:t>
            </w:r>
            <w:r>
              <w:rPr>
                <w:lang w:eastAsia="en-US"/>
              </w:rPr>
              <w:t xml:space="preserve"> olarak güncellenmiştir.</w:t>
            </w:r>
          </w:p>
        </w:tc>
      </w:tr>
    </w:tbl>
    <w:p w:rsidR="003929C5" w:rsidRDefault="003929C5">
      <w:bookmarkStart w:id="0" w:name="_GoBack"/>
      <w:bookmarkEnd w:id="0"/>
    </w:p>
    <w:sectPr w:rsidR="003929C5" w:rsidSect="00573E48">
      <w:headerReference w:type="default" r:id="rId7"/>
      <w:footerReference w:type="default" r:id="rId8"/>
      <w:pgSz w:w="11906" w:h="16838"/>
      <w:pgMar w:top="1417" w:right="1417" w:bottom="1417" w:left="141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4476" w:rsidRDefault="000A4476" w:rsidP="002773EF">
      <w:r>
        <w:separator/>
      </w:r>
    </w:p>
  </w:endnote>
  <w:endnote w:type="continuationSeparator" w:id="0">
    <w:p w:rsidR="000A4476" w:rsidRDefault="000A4476" w:rsidP="00277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3EF" w:rsidRDefault="002773EF">
    <w:pPr>
      <w:pStyle w:val="AltBilgi"/>
    </w:pPr>
  </w:p>
  <w:tbl>
    <w:tblPr>
      <w:tblStyle w:val="TabloKlavuzu"/>
      <w:tblW w:w="5620" w:type="pct"/>
      <w:jc w:val="center"/>
      <w:tblLook w:val="04A0" w:firstRow="1" w:lastRow="0" w:firstColumn="1" w:lastColumn="0" w:noHBand="0" w:noVBand="1"/>
    </w:tblPr>
    <w:tblGrid>
      <w:gridCol w:w="3443"/>
      <w:gridCol w:w="3447"/>
      <w:gridCol w:w="3296"/>
    </w:tblGrid>
    <w:tr w:rsidR="002773EF" w:rsidTr="00D071C2">
      <w:trPr>
        <w:trHeight w:val="249"/>
        <w:jc w:val="center"/>
      </w:trPr>
      <w:tc>
        <w:tcPr>
          <w:tcW w:w="1690" w:type="pct"/>
          <w:vAlign w:val="center"/>
        </w:tcPr>
        <w:p w:rsidR="002773EF" w:rsidRDefault="002773EF" w:rsidP="002773EF">
          <w:pPr>
            <w:pStyle w:val="AltBilgi"/>
            <w:ind w:right="360"/>
            <w:jc w:val="center"/>
          </w:pPr>
          <w:r>
            <w:t>Hazırlayan</w:t>
          </w:r>
        </w:p>
      </w:tc>
      <w:tc>
        <w:tcPr>
          <w:tcW w:w="1692" w:type="pct"/>
          <w:vAlign w:val="center"/>
        </w:tcPr>
        <w:p w:rsidR="002773EF" w:rsidRDefault="002773EF" w:rsidP="002773EF">
          <w:pPr>
            <w:pStyle w:val="AltBilgi"/>
            <w:jc w:val="center"/>
          </w:pPr>
          <w:r>
            <w:t>Kontrol</w:t>
          </w:r>
        </w:p>
      </w:tc>
      <w:tc>
        <w:tcPr>
          <w:tcW w:w="1618" w:type="pct"/>
          <w:vAlign w:val="center"/>
        </w:tcPr>
        <w:p w:rsidR="002773EF" w:rsidRDefault="002773EF" w:rsidP="002773EF">
          <w:pPr>
            <w:pStyle w:val="AltBilgi"/>
            <w:jc w:val="center"/>
          </w:pPr>
          <w:r>
            <w:t>Onay</w:t>
          </w:r>
        </w:p>
      </w:tc>
    </w:tr>
    <w:tr w:rsidR="002773EF" w:rsidTr="00D071C2">
      <w:trPr>
        <w:trHeight w:val="636"/>
        <w:jc w:val="center"/>
      </w:trPr>
      <w:tc>
        <w:tcPr>
          <w:tcW w:w="1690" w:type="pct"/>
          <w:vAlign w:val="center"/>
        </w:tcPr>
        <w:p w:rsidR="002773EF" w:rsidRDefault="002773EF" w:rsidP="002773EF">
          <w:pPr>
            <w:pStyle w:val="AltBilgi"/>
            <w:jc w:val="center"/>
          </w:pPr>
          <w:r>
            <w:t>Sürekli İşçi - Merve GÜNEŞ</w:t>
          </w:r>
        </w:p>
      </w:tc>
      <w:tc>
        <w:tcPr>
          <w:tcW w:w="1692" w:type="pct"/>
          <w:vAlign w:val="center"/>
        </w:tcPr>
        <w:p w:rsidR="002773EF" w:rsidRDefault="00D071C2" w:rsidP="002773EF">
          <w:pPr>
            <w:pStyle w:val="AltBilgi"/>
            <w:jc w:val="center"/>
          </w:pPr>
          <w:r>
            <w:t>Şube Müdürü – Zekai KÜNAR</w:t>
          </w:r>
        </w:p>
      </w:tc>
      <w:tc>
        <w:tcPr>
          <w:tcW w:w="1618" w:type="pct"/>
          <w:vAlign w:val="center"/>
        </w:tcPr>
        <w:p w:rsidR="002773EF" w:rsidRDefault="002773EF" w:rsidP="002773EF">
          <w:pPr>
            <w:pStyle w:val="AltBilgi"/>
            <w:jc w:val="center"/>
          </w:pPr>
          <w:r>
            <w:t>Doktor Öğretim Üyesi - Veli ÇAPALI</w:t>
          </w:r>
        </w:p>
      </w:tc>
    </w:tr>
  </w:tbl>
  <w:p w:rsidR="002773EF" w:rsidRDefault="002773EF">
    <w:pPr>
      <w:pStyle w:val="AltBilgi"/>
    </w:pPr>
  </w:p>
  <w:p w:rsidR="002773EF" w:rsidRDefault="002773E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4476" w:rsidRDefault="000A4476" w:rsidP="002773EF">
      <w:r>
        <w:separator/>
      </w:r>
    </w:p>
  </w:footnote>
  <w:footnote w:type="continuationSeparator" w:id="0">
    <w:p w:rsidR="000A4476" w:rsidRDefault="000A4476" w:rsidP="002773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3EF" w:rsidRDefault="002773EF">
    <w:pPr>
      <w:pStyle w:val="stBilgi"/>
    </w:pPr>
  </w:p>
  <w:tbl>
    <w:tblPr>
      <w:tblStyle w:val="TabloKlavuzu"/>
      <w:tblW w:w="10065" w:type="dxa"/>
      <w:tblInd w:w="-431" w:type="dxa"/>
      <w:tblLook w:val="04A0" w:firstRow="1" w:lastRow="0" w:firstColumn="1" w:lastColumn="0" w:noHBand="0" w:noVBand="1"/>
    </w:tblPr>
    <w:tblGrid>
      <w:gridCol w:w="1844"/>
      <w:gridCol w:w="4819"/>
      <w:gridCol w:w="1843"/>
      <w:gridCol w:w="1559"/>
    </w:tblGrid>
    <w:tr w:rsidR="002773EF" w:rsidTr="00573E48">
      <w:trPr>
        <w:trHeight w:val="416"/>
      </w:trPr>
      <w:tc>
        <w:tcPr>
          <w:tcW w:w="1844" w:type="dxa"/>
          <w:vMerge w:val="restart"/>
          <w:vAlign w:val="center"/>
        </w:tcPr>
        <w:p w:rsidR="002773EF" w:rsidRDefault="002773EF" w:rsidP="002773EF">
          <w:pPr>
            <w:pStyle w:val="stBilgi"/>
            <w:jc w:val="center"/>
          </w:pPr>
          <w:r>
            <w:rPr>
              <w:noProof/>
            </w:rPr>
            <w:drawing>
              <wp:inline distT="0" distB="0" distL="0" distR="0" wp14:anchorId="038FCD3A" wp14:editId="3EC0ECFB">
                <wp:extent cx="657225" cy="656718"/>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du-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4162" cy="663649"/>
                        </a:xfrm>
                        <a:prstGeom prst="rect">
                          <a:avLst/>
                        </a:prstGeom>
                      </pic:spPr>
                    </pic:pic>
                  </a:graphicData>
                </a:graphic>
              </wp:inline>
            </w:drawing>
          </w:r>
        </w:p>
      </w:tc>
      <w:tc>
        <w:tcPr>
          <w:tcW w:w="4819" w:type="dxa"/>
          <w:vMerge w:val="restart"/>
          <w:vAlign w:val="center"/>
        </w:tcPr>
        <w:p w:rsidR="002773EF" w:rsidRDefault="002773EF" w:rsidP="00415158">
          <w:pPr>
            <w:pStyle w:val="stBilgi"/>
            <w:jc w:val="center"/>
            <w:rPr>
              <w:b/>
              <w:sz w:val="22"/>
            </w:rPr>
          </w:pPr>
          <w:r w:rsidRPr="004272E5">
            <w:rPr>
              <w:b/>
              <w:sz w:val="22"/>
            </w:rPr>
            <w:t>SÜLEYMAN DEMİREL ÜNİVERSİTESİ</w:t>
          </w:r>
        </w:p>
        <w:p w:rsidR="002773EF" w:rsidRPr="004272E5" w:rsidRDefault="002773EF" w:rsidP="00415158">
          <w:pPr>
            <w:pStyle w:val="stBilgi"/>
            <w:jc w:val="center"/>
            <w:rPr>
              <w:b/>
              <w:sz w:val="22"/>
            </w:rPr>
          </w:pPr>
        </w:p>
        <w:p w:rsidR="002773EF" w:rsidRPr="004272E5" w:rsidRDefault="002773EF" w:rsidP="00415158">
          <w:pPr>
            <w:pStyle w:val="stBilgi"/>
            <w:jc w:val="center"/>
            <w:rPr>
              <w:b/>
              <w:sz w:val="22"/>
            </w:rPr>
          </w:pPr>
          <w:r>
            <w:rPr>
              <w:b/>
              <w:sz w:val="22"/>
            </w:rPr>
            <w:t>İç Tetkik Prosedürü</w:t>
          </w:r>
        </w:p>
      </w:tc>
      <w:tc>
        <w:tcPr>
          <w:tcW w:w="1843" w:type="dxa"/>
          <w:vAlign w:val="center"/>
        </w:tcPr>
        <w:p w:rsidR="002773EF" w:rsidRPr="004272E5" w:rsidRDefault="002773EF" w:rsidP="002773EF">
          <w:pPr>
            <w:pStyle w:val="stBilgi"/>
            <w:jc w:val="center"/>
            <w:rPr>
              <w:sz w:val="22"/>
            </w:rPr>
          </w:pPr>
          <w:r>
            <w:rPr>
              <w:sz w:val="22"/>
            </w:rPr>
            <w:t>Doküman No</w:t>
          </w:r>
        </w:p>
      </w:tc>
      <w:tc>
        <w:tcPr>
          <w:tcW w:w="1559" w:type="dxa"/>
          <w:vAlign w:val="center"/>
        </w:tcPr>
        <w:p w:rsidR="002773EF" w:rsidRPr="004272E5" w:rsidRDefault="002773EF" w:rsidP="002773EF">
          <w:pPr>
            <w:pStyle w:val="stBilgi"/>
            <w:jc w:val="center"/>
            <w:rPr>
              <w:sz w:val="22"/>
            </w:rPr>
          </w:pPr>
          <w:r>
            <w:rPr>
              <w:sz w:val="22"/>
            </w:rPr>
            <w:t>PR-016</w:t>
          </w:r>
        </w:p>
      </w:tc>
    </w:tr>
    <w:tr w:rsidR="002773EF" w:rsidTr="00573E48">
      <w:trPr>
        <w:trHeight w:val="327"/>
      </w:trPr>
      <w:tc>
        <w:tcPr>
          <w:tcW w:w="1844" w:type="dxa"/>
          <w:vMerge/>
          <w:vAlign w:val="center"/>
        </w:tcPr>
        <w:p w:rsidR="002773EF" w:rsidRDefault="002773EF" w:rsidP="002773EF">
          <w:pPr>
            <w:pStyle w:val="stBilgi"/>
            <w:jc w:val="center"/>
          </w:pPr>
        </w:p>
      </w:tc>
      <w:tc>
        <w:tcPr>
          <w:tcW w:w="4819" w:type="dxa"/>
          <w:vMerge/>
          <w:vAlign w:val="center"/>
        </w:tcPr>
        <w:p w:rsidR="002773EF" w:rsidRPr="004272E5" w:rsidRDefault="002773EF" w:rsidP="002773EF">
          <w:pPr>
            <w:pStyle w:val="stBilgi"/>
            <w:jc w:val="center"/>
            <w:rPr>
              <w:sz w:val="22"/>
            </w:rPr>
          </w:pPr>
        </w:p>
      </w:tc>
      <w:tc>
        <w:tcPr>
          <w:tcW w:w="1843" w:type="dxa"/>
          <w:vAlign w:val="center"/>
        </w:tcPr>
        <w:p w:rsidR="002773EF" w:rsidRPr="004272E5" w:rsidRDefault="002773EF" w:rsidP="002773EF">
          <w:pPr>
            <w:pStyle w:val="stBilgi"/>
            <w:jc w:val="center"/>
            <w:rPr>
              <w:sz w:val="22"/>
            </w:rPr>
          </w:pPr>
          <w:r>
            <w:rPr>
              <w:sz w:val="22"/>
            </w:rPr>
            <w:t>İlk Yayın Tarihi</w:t>
          </w:r>
        </w:p>
      </w:tc>
      <w:tc>
        <w:tcPr>
          <w:tcW w:w="1559" w:type="dxa"/>
          <w:vAlign w:val="center"/>
        </w:tcPr>
        <w:p w:rsidR="002773EF" w:rsidRPr="004272E5" w:rsidRDefault="002773EF" w:rsidP="002773EF">
          <w:pPr>
            <w:pStyle w:val="stBilgi"/>
            <w:jc w:val="center"/>
            <w:rPr>
              <w:sz w:val="22"/>
            </w:rPr>
          </w:pPr>
          <w:r>
            <w:rPr>
              <w:sz w:val="22"/>
            </w:rPr>
            <w:t>3.8.2020</w:t>
          </w:r>
        </w:p>
      </w:tc>
    </w:tr>
    <w:tr w:rsidR="002773EF" w:rsidTr="00573E48">
      <w:trPr>
        <w:trHeight w:val="288"/>
      </w:trPr>
      <w:tc>
        <w:tcPr>
          <w:tcW w:w="1844" w:type="dxa"/>
          <w:vMerge/>
          <w:vAlign w:val="center"/>
        </w:tcPr>
        <w:p w:rsidR="002773EF" w:rsidRDefault="002773EF" w:rsidP="002773EF">
          <w:pPr>
            <w:pStyle w:val="stBilgi"/>
            <w:jc w:val="center"/>
          </w:pPr>
        </w:p>
      </w:tc>
      <w:tc>
        <w:tcPr>
          <w:tcW w:w="4819" w:type="dxa"/>
          <w:vMerge/>
          <w:vAlign w:val="center"/>
        </w:tcPr>
        <w:p w:rsidR="002773EF" w:rsidRPr="004272E5" w:rsidRDefault="002773EF" w:rsidP="002773EF">
          <w:pPr>
            <w:pStyle w:val="stBilgi"/>
            <w:jc w:val="center"/>
            <w:rPr>
              <w:sz w:val="22"/>
            </w:rPr>
          </w:pPr>
        </w:p>
      </w:tc>
      <w:tc>
        <w:tcPr>
          <w:tcW w:w="1843" w:type="dxa"/>
          <w:vAlign w:val="center"/>
        </w:tcPr>
        <w:p w:rsidR="002773EF" w:rsidRPr="004272E5" w:rsidRDefault="002773EF" w:rsidP="002773EF">
          <w:pPr>
            <w:pStyle w:val="stBilgi"/>
            <w:jc w:val="center"/>
            <w:rPr>
              <w:sz w:val="22"/>
            </w:rPr>
          </w:pPr>
          <w:r>
            <w:rPr>
              <w:sz w:val="22"/>
            </w:rPr>
            <w:t>Revizyon Tarihi</w:t>
          </w:r>
        </w:p>
      </w:tc>
      <w:tc>
        <w:tcPr>
          <w:tcW w:w="1559" w:type="dxa"/>
          <w:vAlign w:val="center"/>
        </w:tcPr>
        <w:p w:rsidR="002773EF" w:rsidRPr="004272E5" w:rsidRDefault="009E00FB" w:rsidP="007D3E93">
          <w:pPr>
            <w:pStyle w:val="stBilgi"/>
            <w:jc w:val="center"/>
            <w:rPr>
              <w:sz w:val="22"/>
            </w:rPr>
          </w:pPr>
          <w:r>
            <w:rPr>
              <w:sz w:val="22"/>
            </w:rPr>
            <w:t>04.08.2025</w:t>
          </w:r>
        </w:p>
      </w:tc>
    </w:tr>
    <w:tr w:rsidR="002773EF" w:rsidTr="00573E48">
      <w:trPr>
        <w:trHeight w:val="406"/>
      </w:trPr>
      <w:tc>
        <w:tcPr>
          <w:tcW w:w="1844" w:type="dxa"/>
          <w:vMerge/>
          <w:vAlign w:val="center"/>
        </w:tcPr>
        <w:p w:rsidR="002773EF" w:rsidRDefault="002773EF" w:rsidP="002773EF">
          <w:pPr>
            <w:pStyle w:val="stBilgi"/>
            <w:jc w:val="center"/>
          </w:pPr>
        </w:p>
      </w:tc>
      <w:tc>
        <w:tcPr>
          <w:tcW w:w="4819" w:type="dxa"/>
          <w:vMerge/>
          <w:vAlign w:val="center"/>
        </w:tcPr>
        <w:p w:rsidR="002773EF" w:rsidRPr="004272E5" w:rsidRDefault="002773EF" w:rsidP="002773EF">
          <w:pPr>
            <w:pStyle w:val="stBilgi"/>
            <w:jc w:val="center"/>
            <w:rPr>
              <w:sz w:val="22"/>
            </w:rPr>
          </w:pPr>
        </w:p>
      </w:tc>
      <w:tc>
        <w:tcPr>
          <w:tcW w:w="1843" w:type="dxa"/>
          <w:vAlign w:val="center"/>
        </w:tcPr>
        <w:p w:rsidR="002773EF" w:rsidRDefault="002773EF" w:rsidP="002773EF">
          <w:pPr>
            <w:pStyle w:val="stBilgi"/>
            <w:jc w:val="center"/>
            <w:rPr>
              <w:sz w:val="22"/>
            </w:rPr>
          </w:pPr>
          <w:r>
            <w:rPr>
              <w:sz w:val="22"/>
            </w:rPr>
            <w:t>Revizyon No</w:t>
          </w:r>
        </w:p>
      </w:tc>
      <w:tc>
        <w:tcPr>
          <w:tcW w:w="1559" w:type="dxa"/>
          <w:vAlign w:val="center"/>
        </w:tcPr>
        <w:p w:rsidR="002773EF" w:rsidRDefault="009E00FB" w:rsidP="002773EF">
          <w:pPr>
            <w:pStyle w:val="stBilgi"/>
            <w:jc w:val="center"/>
            <w:rPr>
              <w:sz w:val="22"/>
            </w:rPr>
          </w:pPr>
          <w:r>
            <w:rPr>
              <w:sz w:val="22"/>
            </w:rPr>
            <w:t>004</w:t>
          </w:r>
        </w:p>
      </w:tc>
    </w:tr>
    <w:tr w:rsidR="002773EF" w:rsidTr="00573E48">
      <w:trPr>
        <w:trHeight w:val="256"/>
      </w:trPr>
      <w:tc>
        <w:tcPr>
          <w:tcW w:w="1844" w:type="dxa"/>
          <w:vMerge/>
          <w:vAlign w:val="center"/>
        </w:tcPr>
        <w:p w:rsidR="002773EF" w:rsidRDefault="002773EF" w:rsidP="002773EF">
          <w:pPr>
            <w:pStyle w:val="stBilgi"/>
            <w:jc w:val="center"/>
          </w:pPr>
        </w:p>
      </w:tc>
      <w:tc>
        <w:tcPr>
          <w:tcW w:w="4819" w:type="dxa"/>
          <w:vMerge/>
          <w:vAlign w:val="center"/>
        </w:tcPr>
        <w:p w:rsidR="002773EF" w:rsidRPr="004272E5" w:rsidRDefault="002773EF" w:rsidP="002773EF">
          <w:pPr>
            <w:pStyle w:val="stBilgi"/>
            <w:jc w:val="center"/>
            <w:rPr>
              <w:sz w:val="22"/>
            </w:rPr>
          </w:pPr>
        </w:p>
      </w:tc>
      <w:tc>
        <w:tcPr>
          <w:tcW w:w="1843" w:type="dxa"/>
          <w:vAlign w:val="center"/>
        </w:tcPr>
        <w:p w:rsidR="002773EF" w:rsidRPr="004272E5" w:rsidRDefault="002773EF" w:rsidP="002773EF">
          <w:pPr>
            <w:pStyle w:val="stBilgi"/>
            <w:jc w:val="center"/>
            <w:rPr>
              <w:sz w:val="22"/>
            </w:rPr>
          </w:pPr>
          <w:r>
            <w:rPr>
              <w:sz w:val="22"/>
            </w:rPr>
            <w:t>Sayfa No</w:t>
          </w:r>
        </w:p>
      </w:tc>
      <w:tc>
        <w:tcPr>
          <w:tcW w:w="1559" w:type="dxa"/>
          <w:vAlign w:val="center"/>
        </w:tcPr>
        <w:p w:rsidR="002773EF" w:rsidRPr="004272E5" w:rsidRDefault="00573E48" w:rsidP="0071309F">
          <w:pPr>
            <w:pStyle w:val="stBilgi"/>
            <w:jc w:val="center"/>
            <w:rPr>
              <w:sz w:val="22"/>
            </w:rPr>
          </w:pPr>
          <w:r>
            <w:rPr>
              <w:color w:val="000000"/>
              <w:sz w:val="18"/>
              <w:szCs w:val="18"/>
            </w:rPr>
            <w:fldChar w:fldCharType="begin"/>
          </w:r>
          <w:r>
            <w:rPr>
              <w:color w:val="000000"/>
              <w:sz w:val="18"/>
              <w:szCs w:val="18"/>
            </w:rPr>
            <w:instrText>PAGE</w:instrText>
          </w:r>
          <w:r>
            <w:rPr>
              <w:color w:val="000000"/>
              <w:sz w:val="18"/>
              <w:szCs w:val="18"/>
            </w:rPr>
            <w:fldChar w:fldCharType="separate"/>
          </w:r>
          <w:r w:rsidR="004304A9">
            <w:rPr>
              <w:noProof/>
              <w:color w:val="000000"/>
              <w:sz w:val="18"/>
              <w:szCs w:val="18"/>
            </w:rPr>
            <w:t>5</w:t>
          </w:r>
          <w:r>
            <w:rPr>
              <w:color w:val="000000"/>
              <w:sz w:val="18"/>
              <w:szCs w:val="18"/>
            </w:rPr>
            <w:fldChar w:fldCharType="end"/>
          </w:r>
          <w:r>
            <w:rPr>
              <w:color w:val="000000"/>
              <w:sz w:val="18"/>
              <w:szCs w:val="18"/>
            </w:rPr>
            <w:t xml:space="preserve"> / </w:t>
          </w:r>
          <w:r>
            <w:rPr>
              <w:color w:val="000000"/>
              <w:sz w:val="18"/>
              <w:szCs w:val="18"/>
            </w:rPr>
            <w:fldChar w:fldCharType="begin"/>
          </w:r>
          <w:r>
            <w:rPr>
              <w:color w:val="000000"/>
              <w:sz w:val="18"/>
              <w:szCs w:val="18"/>
            </w:rPr>
            <w:instrText>NUMPAGES</w:instrText>
          </w:r>
          <w:r>
            <w:rPr>
              <w:color w:val="000000"/>
              <w:sz w:val="18"/>
              <w:szCs w:val="18"/>
            </w:rPr>
            <w:fldChar w:fldCharType="separate"/>
          </w:r>
          <w:r w:rsidR="004304A9">
            <w:rPr>
              <w:noProof/>
              <w:color w:val="000000"/>
              <w:sz w:val="18"/>
              <w:szCs w:val="18"/>
            </w:rPr>
            <w:t>6</w:t>
          </w:r>
          <w:r>
            <w:rPr>
              <w:color w:val="000000"/>
              <w:sz w:val="18"/>
              <w:szCs w:val="18"/>
            </w:rPr>
            <w:fldChar w:fldCharType="end"/>
          </w:r>
        </w:p>
      </w:tc>
    </w:tr>
  </w:tbl>
  <w:p w:rsidR="002773EF" w:rsidRDefault="002773E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AC7A4364"/>
    <w:lvl w:ilvl="0">
      <w:start w:val="1"/>
      <w:numFmt w:val="decimal"/>
      <w:lvlText w:val="%1."/>
      <w:lvlJc w:val="left"/>
      <w:pPr>
        <w:ind w:left="360" w:hanging="360"/>
      </w:pPr>
      <w:rPr>
        <w:rFonts w:ascii="Times New Roman" w:hAnsi="Times New Roman"/>
        <w:b/>
        <w:i w:val="0"/>
      </w:rPr>
    </w:lvl>
    <w:lvl w:ilvl="1">
      <w:start w:val="1"/>
      <w:numFmt w:val="decimal"/>
      <w:lvlText w:val="%1.%2."/>
      <w:lvlJc w:val="left"/>
      <w:pPr>
        <w:ind w:left="792" w:hanging="432"/>
      </w:pPr>
      <w:rPr>
        <w:rFonts w:ascii="Times New Roman" w:hAnsi="Times New Roman"/>
        <w:b/>
        <w:i w:val="0"/>
      </w:rPr>
    </w:lvl>
    <w:lvl w:ilvl="2">
      <w:start w:val="1"/>
      <w:numFmt w:val="decimal"/>
      <w:lvlText w:val="%1.%2.%3."/>
      <w:lvlJc w:val="left"/>
      <w:pPr>
        <w:ind w:left="1224" w:hanging="504"/>
      </w:pPr>
      <w:rPr>
        <w:rFonts w:ascii="Times New Roman" w:hAnsi="Times New Roman"/>
        <w:b/>
        <w:i w:val="0"/>
      </w:rPr>
    </w:lvl>
    <w:lvl w:ilvl="3">
      <w:start w:val="1"/>
      <w:numFmt w:val="decimal"/>
      <w:lvlText w:val="%1.%2.%3.%4."/>
      <w:lvlJc w:val="left"/>
      <w:pPr>
        <w:ind w:left="1728" w:hanging="648"/>
      </w:pPr>
      <w:rPr>
        <w:rFonts w:ascii="Times New Roman" w:hAnsi="Times New Roman"/>
      </w:rPr>
    </w:lvl>
    <w:lvl w:ilvl="4">
      <w:start w:val="1"/>
      <w:numFmt w:val="decimal"/>
      <w:lvlText w:val="%1.%2.%3.%4.%5."/>
      <w:lvlJc w:val="left"/>
      <w:pPr>
        <w:ind w:left="2232" w:hanging="792"/>
      </w:pPr>
      <w:rPr>
        <w:rFonts w:ascii="Times New Roman" w:hAnsi="Times New Roman"/>
      </w:rPr>
    </w:lvl>
    <w:lvl w:ilvl="5">
      <w:start w:val="1"/>
      <w:numFmt w:val="decimal"/>
      <w:lvlText w:val="%1.%2.%3.%4.%5.%6."/>
      <w:lvlJc w:val="left"/>
      <w:pPr>
        <w:ind w:left="2736" w:hanging="936"/>
      </w:pPr>
      <w:rPr>
        <w:rFonts w:ascii="Times New Roman" w:hAnsi="Times New Roman"/>
      </w:rPr>
    </w:lvl>
    <w:lvl w:ilvl="6">
      <w:start w:val="1"/>
      <w:numFmt w:val="decimal"/>
      <w:lvlText w:val="%1.%2.%3.%4.%5.%6.%7."/>
      <w:lvlJc w:val="left"/>
      <w:pPr>
        <w:ind w:left="3240" w:hanging="1080"/>
      </w:pPr>
      <w:rPr>
        <w:rFonts w:ascii="Times New Roman" w:hAnsi="Times New Roman"/>
      </w:rPr>
    </w:lvl>
    <w:lvl w:ilvl="7">
      <w:start w:val="1"/>
      <w:numFmt w:val="decimal"/>
      <w:lvlText w:val="%1.%2.%3.%4.%5.%6.%7.%8."/>
      <w:lvlJc w:val="left"/>
      <w:pPr>
        <w:ind w:left="3744" w:hanging="1224"/>
      </w:pPr>
      <w:rPr>
        <w:rFonts w:ascii="Times New Roman" w:hAnsi="Times New Roman"/>
      </w:rPr>
    </w:lvl>
    <w:lvl w:ilvl="8">
      <w:start w:val="1"/>
      <w:numFmt w:val="decimal"/>
      <w:lvlText w:val="%1.%2.%3.%4.%5.%6.%7.%8.%9."/>
      <w:lvlJc w:val="left"/>
      <w:pPr>
        <w:ind w:left="4320" w:hanging="1440"/>
      </w:pPr>
      <w:rPr>
        <w:rFonts w:ascii="Times New Roman" w:hAnsi="Times New Roman"/>
      </w:rPr>
    </w:lvl>
  </w:abstractNum>
  <w:abstractNum w:abstractNumId="1" w15:restartNumberingAfterBreak="0">
    <w:nsid w:val="00000002"/>
    <w:multiLevelType w:val="hybridMultilevel"/>
    <w:tmpl w:val="E2C4F6CA"/>
    <w:lvl w:ilvl="0" w:tplc="041F0001">
      <w:start w:val="1"/>
      <w:numFmt w:val="bullet"/>
      <w:lvlText w:val=""/>
      <w:lvlJc w:val="left"/>
      <w:pPr>
        <w:ind w:left="720" w:hanging="360"/>
      </w:pPr>
      <w:rPr>
        <w:rFonts w:ascii="Symbol" w:hAnsi="Symbol"/>
      </w:rPr>
    </w:lvl>
    <w:lvl w:ilvl="1" w:tplc="041F0003">
      <w:start w:val="1"/>
      <w:numFmt w:val="bullet"/>
      <w:lvlText w:val="o"/>
      <w:lvlJc w:val="left"/>
      <w:pPr>
        <w:ind w:left="1440" w:hanging="360"/>
      </w:pPr>
      <w:rPr>
        <w:rFonts w:ascii="Courier New" w:hAnsi="Courier New"/>
      </w:rPr>
    </w:lvl>
    <w:lvl w:ilvl="2" w:tplc="041F0005">
      <w:start w:val="1"/>
      <w:numFmt w:val="bullet"/>
      <w:lvlText w:val=""/>
      <w:lvlJc w:val="left"/>
      <w:pPr>
        <w:ind w:left="2160" w:hanging="360"/>
      </w:pPr>
      <w:rPr>
        <w:rFonts w:ascii="Wingdings" w:hAnsi="Wingdings"/>
      </w:rPr>
    </w:lvl>
    <w:lvl w:ilvl="3" w:tplc="041F0001">
      <w:start w:val="1"/>
      <w:numFmt w:val="bullet"/>
      <w:lvlText w:val=""/>
      <w:lvlJc w:val="left"/>
      <w:pPr>
        <w:ind w:left="2880" w:hanging="360"/>
      </w:pPr>
      <w:rPr>
        <w:rFonts w:ascii="Symbol" w:hAnsi="Symbol"/>
      </w:rPr>
    </w:lvl>
    <w:lvl w:ilvl="4" w:tplc="041F0003">
      <w:start w:val="1"/>
      <w:numFmt w:val="bullet"/>
      <w:lvlText w:val="o"/>
      <w:lvlJc w:val="left"/>
      <w:pPr>
        <w:ind w:left="3600" w:hanging="360"/>
      </w:pPr>
      <w:rPr>
        <w:rFonts w:ascii="Courier New" w:hAnsi="Courier New"/>
      </w:rPr>
    </w:lvl>
    <w:lvl w:ilvl="5" w:tplc="041F0005">
      <w:start w:val="1"/>
      <w:numFmt w:val="bullet"/>
      <w:lvlText w:val=""/>
      <w:lvlJc w:val="left"/>
      <w:pPr>
        <w:ind w:left="4320" w:hanging="360"/>
      </w:pPr>
      <w:rPr>
        <w:rFonts w:ascii="Wingdings" w:hAnsi="Wingdings"/>
      </w:rPr>
    </w:lvl>
    <w:lvl w:ilvl="6" w:tplc="041F0001">
      <w:start w:val="1"/>
      <w:numFmt w:val="bullet"/>
      <w:lvlText w:val=""/>
      <w:lvlJc w:val="left"/>
      <w:pPr>
        <w:ind w:left="5040" w:hanging="360"/>
      </w:pPr>
      <w:rPr>
        <w:rFonts w:ascii="Symbol" w:hAnsi="Symbol"/>
      </w:rPr>
    </w:lvl>
    <w:lvl w:ilvl="7" w:tplc="041F0003">
      <w:start w:val="1"/>
      <w:numFmt w:val="bullet"/>
      <w:lvlText w:val="o"/>
      <w:lvlJc w:val="left"/>
      <w:pPr>
        <w:ind w:left="5760" w:hanging="360"/>
      </w:pPr>
      <w:rPr>
        <w:rFonts w:ascii="Courier New" w:hAnsi="Courier New"/>
      </w:rPr>
    </w:lvl>
    <w:lvl w:ilvl="8" w:tplc="041F0005">
      <w:start w:val="1"/>
      <w:numFmt w:val="bullet"/>
      <w:lvlText w:val=""/>
      <w:lvlJc w:val="left"/>
      <w:pPr>
        <w:ind w:left="6480" w:hanging="360"/>
      </w:pPr>
      <w:rPr>
        <w:rFonts w:ascii="Wingdings" w:hAnsi="Wingdings"/>
      </w:rPr>
    </w:lvl>
  </w:abstractNum>
  <w:abstractNum w:abstractNumId="2" w15:restartNumberingAfterBreak="0">
    <w:nsid w:val="00000003"/>
    <w:multiLevelType w:val="hybridMultilevel"/>
    <w:tmpl w:val="3FE48024"/>
    <w:lvl w:ilvl="0" w:tplc="041F0001">
      <w:start w:val="1"/>
      <w:numFmt w:val="bullet"/>
      <w:lvlText w:val=""/>
      <w:lvlJc w:val="left"/>
      <w:pPr>
        <w:ind w:left="720" w:hanging="360"/>
      </w:pPr>
      <w:rPr>
        <w:rFonts w:ascii="Symbol" w:hAnsi="Symbol"/>
      </w:rPr>
    </w:lvl>
    <w:lvl w:ilvl="1" w:tplc="041F0003">
      <w:start w:val="1"/>
      <w:numFmt w:val="bullet"/>
      <w:lvlText w:val="o"/>
      <w:lvlJc w:val="left"/>
      <w:pPr>
        <w:ind w:left="1440" w:hanging="360"/>
      </w:pPr>
      <w:rPr>
        <w:rFonts w:ascii="Courier New" w:hAnsi="Courier New"/>
      </w:rPr>
    </w:lvl>
    <w:lvl w:ilvl="2" w:tplc="041F0005">
      <w:start w:val="1"/>
      <w:numFmt w:val="bullet"/>
      <w:lvlText w:val=""/>
      <w:lvlJc w:val="left"/>
      <w:pPr>
        <w:ind w:left="2160" w:hanging="360"/>
      </w:pPr>
      <w:rPr>
        <w:rFonts w:ascii="Wingdings" w:hAnsi="Wingdings"/>
      </w:rPr>
    </w:lvl>
    <w:lvl w:ilvl="3" w:tplc="041F0001">
      <w:start w:val="1"/>
      <w:numFmt w:val="bullet"/>
      <w:lvlText w:val=""/>
      <w:lvlJc w:val="left"/>
      <w:pPr>
        <w:ind w:left="2880" w:hanging="360"/>
      </w:pPr>
      <w:rPr>
        <w:rFonts w:ascii="Symbol" w:hAnsi="Symbol"/>
      </w:rPr>
    </w:lvl>
    <w:lvl w:ilvl="4" w:tplc="041F0003">
      <w:start w:val="1"/>
      <w:numFmt w:val="bullet"/>
      <w:lvlText w:val="o"/>
      <w:lvlJc w:val="left"/>
      <w:pPr>
        <w:ind w:left="3600" w:hanging="360"/>
      </w:pPr>
      <w:rPr>
        <w:rFonts w:ascii="Courier New" w:hAnsi="Courier New"/>
      </w:rPr>
    </w:lvl>
    <w:lvl w:ilvl="5" w:tplc="041F0005">
      <w:start w:val="1"/>
      <w:numFmt w:val="bullet"/>
      <w:lvlText w:val=""/>
      <w:lvlJc w:val="left"/>
      <w:pPr>
        <w:ind w:left="4320" w:hanging="360"/>
      </w:pPr>
      <w:rPr>
        <w:rFonts w:ascii="Wingdings" w:hAnsi="Wingdings"/>
      </w:rPr>
    </w:lvl>
    <w:lvl w:ilvl="6" w:tplc="041F0001">
      <w:start w:val="1"/>
      <w:numFmt w:val="bullet"/>
      <w:lvlText w:val=""/>
      <w:lvlJc w:val="left"/>
      <w:pPr>
        <w:ind w:left="5040" w:hanging="360"/>
      </w:pPr>
      <w:rPr>
        <w:rFonts w:ascii="Symbol" w:hAnsi="Symbol"/>
      </w:rPr>
    </w:lvl>
    <w:lvl w:ilvl="7" w:tplc="041F0003">
      <w:start w:val="1"/>
      <w:numFmt w:val="bullet"/>
      <w:lvlText w:val="o"/>
      <w:lvlJc w:val="left"/>
      <w:pPr>
        <w:ind w:left="5760" w:hanging="360"/>
      </w:pPr>
      <w:rPr>
        <w:rFonts w:ascii="Courier New" w:hAnsi="Courier New"/>
      </w:rPr>
    </w:lvl>
    <w:lvl w:ilvl="8" w:tplc="041F0005">
      <w:start w:val="1"/>
      <w:numFmt w:val="bullet"/>
      <w:lvlText w:val=""/>
      <w:lvlJc w:val="left"/>
      <w:pPr>
        <w:ind w:left="6480" w:hanging="360"/>
      </w:pPr>
      <w:rPr>
        <w:rFonts w:ascii="Wingdings" w:hAnsi="Wingdings"/>
      </w:rPr>
    </w:lvl>
  </w:abstractNum>
  <w:abstractNum w:abstractNumId="3" w15:restartNumberingAfterBreak="0">
    <w:nsid w:val="00000004"/>
    <w:multiLevelType w:val="hybridMultilevel"/>
    <w:tmpl w:val="4914E3EC"/>
    <w:lvl w:ilvl="0" w:tplc="041F0001">
      <w:start w:val="1"/>
      <w:numFmt w:val="bullet"/>
      <w:lvlText w:val=""/>
      <w:lvlJc w:val="left"/>
      <w:pPr>
        <w:ind w:left="1080" w:hanging="360"/>
      </w:pPr>
      <w:rPr>
        <w:rFonts w:ascii="Symbol" w:hAnsi="Symbol"/>
      </w:rPr>
    </w:lvl>
    <w:lvl w:ilvl="1" w:tplc="041F0003">
      <w:start w:val="1"/>
      <w:numFmt w:val="bullet"/>
      <w:lvlText w:val="o"/>
      <w:lvlJc w:val="left"/>
      <w:pPr>
        <w:ind w:left="1800" w:hanging="360"/>
      </w:pPr>
      <w:rPr>
        <w:rFonts w:ascii="Courier New" w:hAnsi="Courier New"/>
      </w:rPr>
    </w:lvl>
    <w:lvl w:ilvl="2" w:tplc="041F0005">
      <w:start w:val="1"/>
      <w:numFmt w:val="bullet"/>
      <w:lvlText w:val=""/>
      <w:lvlJc w:val="left"/>
      <w:pPr>
        <w:ind w:left="2520" w:hanging="360"/>
      </w:pPr>
      <w:rPr>
        <w:rFonts w:ascii="Wingdings" w:hAnsi="Wingdings"/>
      </w:rPr>
    </w:lvl>
    <w:lvl w:ilvl="3" w:tplc="041F0001">
      <w:start w:val="1"/>
      <w:numFmt w:val="bullet"/>
      <w:lvlText w:val=""/>
      <w:lvlJc w:val="left"/>
      <w:pPr>
        <w:ind w:left="3240" w:hanging="360"/>
      </w:pPr>
      <w:rPr>
        <w:rFonts w:ascii="Symbol" w:hAnsi="Symbol"/>
      </w:rPr>
    </w:lvl>
    <w:lvl w:ilvl="4" w:tplc="041F0003">
      <w:start w:val="1"/>
      <w:numFmt w:val="bullet"/>
      <w:lvlText w:val="o"/>
      <w:lvlJc w:val="left"/>
      <w:pPr>
        <w:ind w:left="3960" w:hanging="360"/>
      </w:pPr>
      <w:rPr>
        <w:rFonts w:ascii="Courier New" w:hAnsi="Courier New"/>
      </w:rPr>
    </w:lvl>
    <w:lvl w:ilvl="5" w:tplc="041F0005">
      <w:start w:val="1"/>
      <w:numFmt w:val="bullet"/>
      <w:lvlText w:val=""/>
      <w:lvlJc w:val="left"/>
      <w:pPr>
        <w:ind w:left="4680" w:hanging="360"/>
      </w:pPr>
      <w:rPr>
        <w:rFonts w:ascii="Wingdings" w:hAnsi="Wingdings"/>
      </w:rPr>
    </w:lvl>
    <w:lvl w:ilvl="6" w:tplc="041F0001">
      <w:start w:val="1"/>
      <w:numFmt w:val="bullet"/>
      <w:lvlText w:val=""/>
      <w:lvlJc w:val="left"/>
      <w:pPr>
        <w:ind w:left="5400" w:hanging="360"/>
      </w:pPr>
      <w:rPr>
        <w:rFonts w:ascii="Symbol" w:hAnsi="Symbol"/>
      </w:rPr>
    </w:lvl>
    <w:lvl w:ilvl="7" w:tplc="041F0003">
      <w:start w:val="1"/>
      <w:numFmt w:val="bullet"/>
      <w:lvlText w:val="o"/>
      <w:lvlJc w:val="left"/>
      <w:pPr>
        <w:ind w:left="6120" w:hanging="360"/>
      </w:pPr>
      <w:rPr>
        <w:rFonts w:ascii="Courier New" w:hAnsi="Courier New"/>
      </w:rPr>
    </w:lvl>
    <w:lvl w:ilvl="8" w:tplc="041F0005">
      <w:start w:val="1"/>
      <w:numFmt w:val="bullet"/>
      <w:lvlText w:val=""/>
      <w:lvlJc w:val="left"/>
      <w:pPr>
        <w:ind w:left="6840" w:hanging="360"/>
      </w:pPr>
      <w:rPr>
        <w:rFonts w:ascii="Wingdings" w:hAnsi="Wingdings"/>
      </w:rPr>
    </w:lvl>
  </w:abstractNum>
  <w:abstractNum w:abstractNumId="4" w15:restartNumberingAfterBreak="0">
    <w:nsid w:val="00000005"/>
    <w:multiLevelType w:val="hybridMultilevel"/>
    <w:tmpl w:val="6090E3E6"/>
    <w:lvl w:ilvl="0" w:tplc="041F0001">
      <w:start w:val="1"/>
      <w:numFmt w:val="bullet"/>
      <w:lvlText w:val=""/>
      <w:lvlJc w:val="left"/>
      <w:pPr>
        <w:ind w:left="1080" w:hanging="360"/>
      </w:pPr>
      <w:rPr>
        <w:rFonts w:ascii="Symbol" w:hAnsi="Symbol"/>
      </w:rPr>
    </w:lvl>
    <w:lvl w:ilvl="1" w:tplc="041F0003">
      <w:start w:val="1"/>
      <w:numFmt w:val="bullet"/>
      <w:lvlText w:val="o"/>
      <w:lvlJc w:val="left"/>
      <w:pPr>
        <w:ind w:left="1800" w:hanging="360"/>
      </w:pPr>
      <w:rPr>
        <w:rFonts w:ascii="Courier New" w:hAnsi="Courier New"/>
      </w:rPr>
    </w:lvl>
    <w:lvl w:ilvl="2" w:tplc="041F0005">
      <w:start w:val="1"/>
      <w:numFmt w:val="bullet"/>
      <w:lvlText w:val=""/>
      <w:lvlJc w:val="left"/>
      <w:pPr>
        <w:ind w:left="2520" w:hanging="360"/>
      </w:pPr>
      <w:rPr>
        <w:rFonts w:ascii="Wingdings" w:hAnsi="Wingdings"/>
      </w:rPr>
    </w:lvl>
    <w:lvl w:ilvl="3" w:tplc="041F0001">
      <w:start w:val="1"/>
      <w:numFmt w:val="bullet"/>
      <w:lvlText w:val=""/>
      <w:lvlJc w:val="left"/>
      <w:pPr>
        <w:ind w:left="3240" w:hanging="360"/>
      </w:pPr>
      <w:rPr>
        <w:rFonts w:ascii="Symbol" w:hAnsi="Symbol"/>
      </w:rPr>
    </w:lvl>
    <w:lvl w:ilvl="4" w:tplc="041F0003">
      <w:start w:val="1"/>
      <w:numFmt w:val="bullet"/>
      <w:lvlText w:val="o"/>
      <w:lvlJc w:val="left"/>
      <w:pPr>
        <w:ind w:left="3960" w:hanging="360"/>
      </w:pPr>
      <w:rPr>
        <w:rFonts w:ascii="Courier New" w:hAnsi="Courier New"/>
      </w:rPr>
    </w:lvl>
    <w:lvl w:ilvl="5" w:tplc="041F0005">
      <w:start w:val="1"/>
      <w:numFmt w:val="bullet"/>
      <w:lvlText w:val=""/>
      <w:lvlJc w:val="left"/>
      <w:pPr>
        <w:ind w:left="4680" w:hanging="360"/>
      </w:pPr>
      <w:rPr>
        <w:rFonts w:ascii="Wingdings" w:hAnsi="Wingdings"/>
      </w:rPr>
    </w:lvl>
    <w:lvl w:ilvl="6" w:tplc="041F0001">
      <w:start w:val="1"/>
      <w:numFmt w:val="bullet"/>
      <w:lvlText w:val=""/>
      <w:lvlJc w:val="left"/>
      <w:pPr>
        <w:ind w:left="5400" w:hanging="360"/>
      </w:pPr>
      <w:rPr>
        <w:rFonts w:ascii="Symbol" w:hAnsi="Symbol"/>
      </w:rPr>
    </w:lvl>
    <w:lvl w:ilvl="7" w:tplc="041F0003">
      <w:start w:val="1"/>
      <w:numFmt w:val="bullet"/>
      <w:lvlText w:val="o"/>
      <w:lvlJc w:val="left"/>
      <w:pPr>
        <w:ind w:left="6120" w:hanging="360"/>
      </w:pPr>
      <w:rPr>
        <w:rFonts w:ascii="Courier New" w:hAnsi="Courier New"/>
      </w:rPr>
    </w:lvl>
    <w:lvl w:ilvl="8" w:tplc="041F0005">
      <w:start w:val="1"/>
      <w:numFmt w:val="bullet"/>
      <w:lvlText w:val=""/>
      <w:lvlJc w:val="left"/>
      <w:pPr>
        <w:ind w:left="684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E13"/>
    <w:rsid w:val="000A4476"/>
    <w:rsid w:val="000B73B3"/>
    <w:rsid w:val="001F3E13"/>
    <w:rsid w:val="00243E32"/>
    <w:rsid w:val="002773EF"/>
    <w:rsid w:val="0028076A"/>
    <w:rsid w:val="00350E7C"/>
    <w:rsid w:val="003929C5"/>
    <w:rsid w:val="00415158"/>
    <w:rsid w:val="004304A9"/>
    <w:rsid w:val="00556DAB"/>
    <w:rsid w:val="00573E48"/>
    <w:rsid w:val="0071309F"/>
    <w:rsid w:val="007274DE"/>
    <w:rsid w:val="007A4C74"/>
    <w:rsid w:val="007D3E93"/>
    <w:rsid w:val="007E30C4"/>
    <w:rsid w:val="008A02C2"/>
    <w:rsid w:val="008B521B"/>
    <w:rsid w:val="00943670"/>
    <w:rsid w:val="009E00FB"/>
    <w:rsid w:val="00A50C3A"/>
    <w:rsid w:val="00B62AC3"/>
    <w:rsid w:val="00C83663"/>
    <w:rsid w:val="00D071C2"/>
    <w:rsid w:val="00DC44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6A09E6"/>
  <w15:chartTrackingRefBased/>
  <w15:docId w15:val="{9D6526E2-2B5F-4EF4-ABBA-2DF5479C6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3670"/>
    <w:pPr>
      <w:spacing w:after="0" w:line="240" w:lineRule="auto"/>
      <w:jc w:val="both"/>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43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943670"/>
    <w:pPr>
      <w:tabs>
        <w:tab w:val="center" w:pos="4536"/>
        <w:tab w:val="right" w:pos="9072"/>
      </w:tabs>
    </w:pPr>
  </w:style>
  <w:style w:type="character" w:customStyle="1" w:styleId="stBilgiChar">
    <w:name w:val="Üst Bilgi Char"/>
    <w:basedOn w:val="VarsaylanParagrafYazTipi"/>
    <w:link w:val="stBilgi"/>
    <w:uiPriority w:val="99"/>
    <w:rsid w:val="00943670"/>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2773EF"/>
    <w:pPr>
      <w:tabs>
        <w:tab w:val="center" w:pos="4536"/>
        <w:tab w:val="right" w:pos="9072"/>
      </w:tabs>
    </w:pPr>
  </w:style>
  <w:style w:type="character" w:customStyle="1" w:styleId="AltBilgiChar">
    <w:name w:val="Alt Bilgi Char"/>
    <w:basedOn w:val="VarsaylanParagrafYazTipi"/>
    <w:link w:val="AltBilgi"/>
    <w:uiPriority w:val="99"/>
    <w:rsid w:val="002773EF"/>
    <w:rPr>
      <w:rFonts w:ascii="Times New Roman" w:eastAsia="Times New Roman" w:hAnsi="Times New Roman" w:cs="Times New Roman"/>
      <w:sz w:val="24"/>
      <w:szCs w:val="24"/>
      <w:lang w:eastAsia="tr-TR"/>
    </w:rPr>
  </w:style>
  <w:style w:type="paragraph" w:styleId="ListeParagraf">
    <w:name w:val="List Paragraph"/>
    <w:basedOn w:val="Normal"/>
    <w:qFormat/>
    <w:pPr>
      <w:jc w:val="left"/>
    </w:pPr>
    <w:rPr>
      <w:rFonts w:ascii="Calibri" w:hAnsi="Calibri"/>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623619">
      <w:bodyDiv w:val="1"/>
      <w:marLeft w:val="0"/>
      <w:marRight w:val="0"/>
      <w:marTop w:val="0"/>
      <w:marBottom w:val="0"/>
      <w:divBdr>
        <w:top w:val="none" w:sz="0" w:space="0" w:color="auto"/>
        <w:left w:val="none" w:sz="0" w:space="0" w:color="auto"/>
        <w:bottom w:val="none" w:sz="0" w:space="0" w:color="auto"/>
        <w:right w:val="none" w:sz="0" w:space="0" w:color="auto"/>
      </w:divBdr>
    </w:div>
    <w:div w:id="902181782">
      <w:bodyDiv w:val="1"/>
      <w:marLeft w:val="0"/>
      <w:marRight w:val="0"/>
      <w:marTop w:val="0"/>
      <w:marBottom w:val="0"/>
      <w:divBdr>
        <w:top w:val="none" w:sz="0" w:space="0" w:color="auto"/>
        <w:left w:val="none" w:sz="0" w:space="0" w:color="auto"/>
        <w:bottom w:val="none" w:sz="0" w:space="0" w:color="auto"/>
        <w:right w:val="none" w:sz="0" w:space="0" w:color="auto"/>
      </w:divBdr>
    </w:div>
    <w:div w:id="1511411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1632</Words>
  <Characters>9307</Characters>
  <Application>Microsoft Office Word</Application>
  <DocSecurity>0</DocSecurity>
  <Lines>77</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Veysel Erdemci</dc:creator>
  <cp:keywords/>
  <dc:description/>
  <cp:lastModifiedBy>Merve Günes</cp:lastModifiedBy>
  <cp:revision>15</cp:revision>
  <cp:lastPrinted>2022-10-28T08:01:00Z</cp:lastPrinted>
  <dcterms:created xsi:type="dcterms:W3CDTF">2021-02-15T20:27:00Z</dcterms:created>
  <dcterms:modified xsi:type="dcterms:W3CDTF">2025-10-16T14:10:00Z</dcterms:modified>
</cp:coreProperties>
</file>