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AMAÇ</w:t>
      </w:r>
    </w:p>
    <w:p w:rsidR="00F83C10" w:rsidRPr="00950357" w:rsidRDefault="0099466B" w:rsidP="00950357">
      <w:pPr>
        <w:pStyle w:val="ListeParagraf"/>
        <w:jc w:val="both"/>
        <w:rPr>
          <w:rFonts w:ascii="Times New Roman" w:hAnsi="Times New Roman"/>
          <w:sz w:val="24"/>
          <w:szCs w:val="24"/>
        </w:rPr>
      </w:pPr>
      <w:r w:rsidRPr="00950357">
        <w:rPr>
          <w:rFonts w:ascii="Times New Roman" w:hAnsi="Times New Roman"/>
          <w:sz w:val="24"/>
          <w:szCs w:val="24"/>
        </w:rPr>
        <w:t xml:space="preserve"> </w:t>
      </w:r>
    </w:p>
    <w:p w:rsidR="00A57A02" w:rsidRPr="00950357" w:rsidRDefault="00A57A02" w:rsidP="00950357">
      <w:pPr>
        <w:pStyle w:val="ListeParagraf"/>
        <w:ind w:firstLine="360"/>
        <w:jc w:val="both"/>
        <w:rPr>
          <w:rFonts w:ascii="Times New Roman" w:hAnsi="Times New Roman"/>
          <w:sz w:val="24"/>
          <w:szCs w:val="24"/>
        </w:rPr>
      </w:pPr>
      <w:r w:rsidRPr="00950357">
        <w:rPr>
          <w:rFonts w:ascii="Times New Roman" w:hAnsi="Times New Roman"/>
          <w:sz w:val="24"/>
          <w:szCs w:val="24"/>
        </w:rPr>
        <w:t xml:space="preserve">Bilgi Güvenliği Yönetim Sistemleri ve Kişisel Veri Yönetim Sistemleri kapsamında organizasyonun hassas bilgilerinin korunmasına odaklanır. Bu </w:t>
      </w:r>
      <w:proofErr w:type="gramStart"/>
      <w:r w:rsidRPr="00950357">
        <w:rPr>
          <w:rFonts w:ascii="Times New Roman" w:hAnsi="Times New Roman"/>
          <w:sz w:val="24"/>
          <w:szCs w:val="24"/>
        </w:rPr>
        <w:t>prosedürün</w:t>
      </w:r>
      <w:proofErr w:type="gramEnd"/>
      <w:r w:rsidRPr="00950357">
        <w:rPr>
          <w:rFonts w:ascii="Times New Roman" w:hAnsi="Times New Roman"/>
          <w:sz w:val="24"/>
          <w:szCs w:val="24"/>
        </w:rPr>
        <w:t xml:space="preserve"> amacı, kuruluşun müşteri bilgileri, çalışan bilgileri, finansal belgeler ve diğer önemli bilgilerin ve veri saklanan bilişim sistemlerinin (</w:t>
      </w:r>
      <w:proofErr w:type="spellStart"/>
      <w:r w:rsidRPr="00950357">
        <w:rPr>
          <w:rFonts w:ascii="Times New Roman" w:hAnsi="Times New Roman"/>
          <w:sz w:val="24"/>
          <w:szCs w:val="24"/>
        </w:rPr>
        <w:t>harddisk</w:t>
      </w:r>
      <w:proofErr w:type="spellEnd"/>
      <w:r w:rsidRPr="00950357">
        <w:rPr>
          <w:rFonts w:ascii="Times New Roman" w:hAnsi="Times New Roman"/>
          <w:sz w:val="24"/>
          <w:szCs w:val="24"/>
        </w:rPr>
        <w:t xml:space="preserve">, cd, </w:t>
      </w:r>
      <w:proofErr w:type="spellStart"/>
      <w:r w:rsidRPr="00950357">
        <w:rPr>
          <w:rFonts w:ascii="Times New Roman" w:hAnsi="Times New Roman"/>
          <w:sz w:val="24"/>
          <w:szCs w:val="24"/>
        </w:rPr>
        <w:t>usb</w:t>
      </w:r>
      <w:proofErr w:type="spellEnd"/>
      <w:r w:rsidRPr="00950357">
        <w:rPr>
          <w:rFonts w:ascii="Times New Roman" w:hAnsi="Times New Roman"/>
          <w:sz w:val="24"/>
          <w:szCs w:val="24"/>
        </w:rPr>
        <w:t>, vb. ) veri imha yöntemlerini belirlemeyerek güvenli şekilde imha edilmesini sağlar.</w:t>
      </w:r>
    </w:p>
    <w:p w:rsidR="00A57A02" w:rsidRPr="00950357" w:rsidRDefault="00A57A02" w:rsidP="00950357">
      <w:pPr>
        <w:pStyle w:val="ListeParagraf"/>
        <w:jc w:val="both"/>
        <w:rPr>
          <w:rFonts w:ascii="Times New Roman" w:hAnsi="Times New Roman"/>
          <w:sz w:val="24"/>
          <w:szCs w:val="24"/>
        </w:rPr>
      </w:pP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KAPSAM</w:t>
      </w:r>
    </w:p>
    <w:p w:rsidR="00A57A02" w:rsidRPr="00950357" w:rsidRDefault="00A57A02" w:rsidP="00950357">
      <w:pPr>
        <w:pStyle w:val="ListeParagraf"/>
        <w:jc w:val="both"/>
        <w:rPr>
          <w:rFonts w:ascii="Times New Roman" w:hAnsi="Times New Roman"/>
          <w:sz w:val="24"/>
          <w:szCs w:val="24"/>
        </w:rPr>
      </w:pPr>
    </w:p>
    <w:p w:rsidR="00F83C10" w:rsidRPr="00950357" w:rsidRDefault="0099466B" w:rsidP="00950357">
      <w:pPr>
        <w:pStyle w:val="ListeParagraf"/>
        <w:ind w:firstLine="360"/>
        <w:jc w:val="both"/>
        <w:rPr>
          <w:rFonts w:ascii="Times New Roman" w:hAnsi="Times New Roman"/>
          <w:sz w:val="24"/>
          <w:szCs w:val="24"/>
        </w:rPr>
      </w:pPr>
      <w:r w:rsidRPr="00950357">
        <w:rPr>
          <w:rFonts w:ascii="Times New Roman" w:hAnsi="Times New Roman"/>
          <w:sz w:val="24"/>
          <w:szCs w:val="24"/>
        </w:rPr>
        <w:t xml:space="preserve">Bu </w:t>
      </w:r>
      <w:proofErr w:type="gramStart"/>
      <w:r w:rsidRPr="00950357">
        <w:rPr>
          <w:rFonts w:ascii="Times New Roman" w:hAnsi="Times New Roman"/>
          <w:sz w:val="24"/>
          <w:szCs w:val="24"/>
        </w:rPr>
        <w:t>prosedür</w:t>
      </w:r>
      <w:proofErr w:type="gramEnd"/>
      <w:r w:rsidRPr="00950357">
        <w:rPr>
          <w:rFonts w:ascii="Times New Roman" w:hAnsi="Times New Roman"/>
          <w:sz w:val="24"/>
          <w:szCs w:val="24"/>
        </w:rPr>
        <w:t>, bilişim sistemlerinin (harddisk, cd, usb, vb. )</w:t>
      </w:r>
      <w:r w:rsidR="00950357">
        <w:rPr>
          <w:rFonts w:ascii="Times New Roman" w:hAnsi="Times New Roman"/>
          <w:sz w:val="24"/>
          <w:szCs w:val="24"/>
        </w:rPr>
        <w:t xml:space="preserve">, </w:t>
      </w:r>
      <w:r w:rsidR="00950357" w:rsidRPr="00206366">
        <w:rPr>
          <w:rFonts w:ascii="Arial" w:hAnsi="Arial" w:cs="Arial"/>
          <w:color w:val="000000"/>
        </w:rPr>
        <w:t xml:space="preserve">kayıtları tutulan </w:t>
      </w:r>
      <w:r w:rsidR="00950357">
        <w:rPr>
          <w:rFonts w:ascii="Arial" w:hAnsi="Arial" w:cs="Arial"/>
          <w:color w:val="000000"/>
        </w:rPr>
        <w:t xml:space="preserve">tüm </w:t>
      </w:r>
      <w:r w:rsidR="00950357">
        <w:rPr>
          <w:rFonts w:ascii="Times New Roman" w:hAnsi="Times New Roman"/>
          <w:sz w:val="24"/>
          <w:szCs w:val="24"/>
        </w:rPr>
        <w:t xml:space="preserve">kişisel veri içeren bilgilerin </w:t>
      </w:r>
      <w:r w:rsidRPr="00950357">
        <w:rPr>
          <w:rFonts w:ascii="Times New Roman" w:hAnsi="Times New Roman"/>
          <w:sz w:val="24"/>
          <w:szCs w:val="24"/>
        </w:rPr>
        <w:t>imha edilmesi faaliyetlerini kapsamaktadır.</w:t>
      </w: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SORUMLULAR</w:t>
      </w:r>
    </w:p>
    <w:p w:rsidR="00A57A02" w:rsidRPr="00950357" w:rsidRDefault="00A57A02" w:rsidP="00950357">
      <w:pPr>
        <w:pStyle w:val="ListeParagraf"/>
        <w:jc w:val="both"/>
        <w:rPr>
          <w:rFonts w:ascii="Times New Roman" w:hAnsi="Times New Roman"/>
          <w:sz w:val="24"/>
          <w:szCs w:val="24"/>
        </w:rPr>
      </w:pPr>
    </w:p>
    <w:p w:rsidR="00F83C10" w:rsidRPr="00950357" w:rsidRDefault="0099466B" w:rsidP="00950357">
      <w:pPr>
        <w:pStyle w:val="ListeParagraf"/>
        <w:ind w:firstLine="360"/>
        <w:jc w:val="both"/>
        <w:rPr>
          <w:rFonts w:ascii="Times New Roman" w:hAnsi="Times New Roman"/>
          <w:sz w:val="24"/>
          <w:szCs w:val="24"/>
        </w:rPr>
      </w:pPr>
      <w:r w:rsidRPr="00950357">
        <w:rPr>
          <w:rFonts w:ascii="Times New Roman" w:hAnsi="Times New Roman"/>
          <w:sz w:val="24"/>
          <w:szCs w:val="24"/>
        </w:rPr>
        <w:t xml:space="preserve">Bu </w:t>
      </w:r>
      <w:proofErr w:type="gramStart"/>
      <w:r w:rsidRPr="00950357">
        <w:rPr>
          <w:rFonts w:ascii="Times New Roman" w:hAnsi="Times New Roman"/>
          <w:sz w:val="24"/>
          <w:szCs w:val="24"/>
        </w:rPr>
        <w:t>prosedürün</w:t>
      </w:r>
      <w:proofErr w:type="gramEnd"/>
      <w:r w:rsidRPr="00950357">
        <w:rPr>
          <w:rFonts w:ascii="Times New Roman" w:hAnsi="Times New Roman"/>
          <w:sz w:val="24"/>
          <w:szCs w:val="24"/>
        </w:rPr>
        <w:t xml:space="preserve"> düzenlenmesi ve kontrol </w:t>
      </w:r>
      <w:r w:rsidR="00A57A02" w:rsidRPr="00950357">
        <w:rPr>
          <w:rFonts w:ascii="Times New Roman" w:hAnsi="Times New Roman"/>
          <w:sz w:val="24"/>
          <w:szCs w:val="24"/>
        </w:rPr>
        <w:t xml:space="preserve">edilmesinden Yönetim Temsilcisi, uygulanmasından tüm personeller </w:t>
      </w:r>
      <w:r w:rsidRPr="00950357">
        <w:rPr>
          <w:rFonts w:ascii="Times New Roman" w:hAnsi="Times New Roman"/>
          <w:sz w:val="24"/>
          <w:szCs w:val="24"/>
        </w:rPr>
        <w:t>sorumludur.</w:t>
      </w:r>
    </w:p>
    <w:p w:rsidR="00F83C10" w:rsidRPr="00950357" w:rsidRDefault="00246150" w:rsidP="00950357">
      <w:pPr>
        <w:pStyle w:val="ListeParagraf"/>
        <w:jc w:val="both"/>
        <w:rPr>
          <w:rFonts w:ascii="Times New Roman" w:hAnsi="Times New Roman"/>
          <w:sz w:val="24"/>
          <w:szCs w:val="24"/>
        </w:rPr>
      </w:pPr>
    </w:p>
    <w:p w:rsidR="00F83C10"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TANIMLAR</w:t>
      </w:r>
    </w:p>
    <w:p w:rsidR="00D54E33" w:rsidRPr="00950357" w:rsidRDefault="00D54E33" w:rsidP="00D54E33">
      <w:pPr>
        <w:pStyle w:val="ListeParagraf"/>
        <w:ind w:left="360"/>
        <w:contextualSpacing/>
        <w:jc w:val="both"/>
        <w:rPr>
          <w:rFonts w:ascii="Times New Roman" w:hAnsi="Times New Roman"/>
          <w:b/>
          <w:sz w:val="24"/>
          <w:szCs w:val="24"/>
        </w:rPr>
      </w:pPr>
    </w:p>
    <w:p w:rsidR="00F83C10" w:rsidRPr="00950357" w:rsidRDefault="0099466B" w:rsidP="00950357">
      <w:pPr>
        <w:pStyle w:val="ListeParagraf"/>
        <w:ind w:firstLine="360"/>
        <w:jc w:val="both"/>
        <w:rPr>
          <w:rFonts w:ascii="Times New Roman" w:hAnsi="Times New Roman"/>
          <w:sz w:val="24"/>
          <w:szCs w:val="24"/>
        </w:rPr>
      </w:pPr>
      <w:r w:rsidRPr="00950357">
        <w:rPr>
          <w:rFonts w:ascii="Times New Roman" w:hAnsi="Times New Roman"/>
          <w:b/>
          <w:i/>
          <w:sz w:val="24"/>
          <w:szCs w:val="24"/>
        </w:rPr>
        <w:t>İmha:</w:t>
      </w:r>
      <w:r w:rsidRPr="00950357">
        <w:rPr>
          <w:rFonts w:ascii="Times New Roman" w:hAnsi="Times New Roman"/>
          <w:sz w:val="24"/>
          <w:szCs w:val="24"/>
        </w:rPr>
        <w:t xml:space="preserve"> Veri saklanan bilişim sistemlerinin (harddisk, cd, usb, vb) içindeki bilgilerin erişilemez hale getirilmesidir.</w:t>
      </w:r>
    </w:p>
    <w:p w:rsidR="00A57A02" w:rsidRPr="00950357" w:rsidRDefault="00A57A02" w:rsidP="00950357">
      <w:pPr>
        <w:pStyle w:val="ListeParagraf"/>
        <w:ind w:firstLine="360"/>
        <w:jc w:val="both"/>
        <w:rPr>
          <w:rFonts w:ascii="Times New Roman" w:hAnsi="Times New Roman"/>
          <w:sz w:val="24"/>
          <w:szCs w:val="24"/>
        </w:rPr>
      </w:pPr>
      <w:r w:rsidRPr="00950357">
        <w:rPr>
          <w:rFonts w:ascii="Times New Roman" w:hAnsi="Times New Roman"/>
          <w:b/>
          <w:i/>
          <w:sz w:val="24"/>
          <w:szCs w:val="24"/>
        </w:rPr>
        <w:t>KVK:</w:t>
      </w:r>
      <w:r w:rsidRPr="00950357">
        <w:rPr>
          <w:rFonts w:ascii="Times New Roman" w:hAnsi="Times New Roman"/>
          <w:sz w:val="24"/>
          <w:szCs w:val="24"/>
        </w:rPr>
        <w:t xml:space="preserve"> Kişisel Verilerin Korunması</w:t>
      </w:r>
    </w:p>
    <w:p w:rsidR="00A57A02" w:rsidRPr="00950357" w:rsidRDefault="00A57A02" w:rsidP="00950357">
      <w:pPr>
        <w:pStyle w:val="ListeParagraf"/>
        <w:ind w:firstLine="360"/>
        <w:jc w:val="both"/>
        <w:rPr>
          <w:rFonts w:ascii="Times New Roman" w:hAnsi="Times New Roman"/>
          <w:sz w:val="24"/>
          <w:szCs w:val="24"/>
        </w:rPr>
      </w:pPr>
      <w:r w:rsidRPr="00950357">
        <w:rPr>
          <w:rFonts w:ascii="Times New Roman" w:hAnsi="Times New Roman"/>
          <w:b/>
          <w:i/>
          <w:sz w:val="24"/>
          <w:szCs w:val="24"/>
        </w:rPr>
        <w:t>KVKK:</w:t>
      </w:r>
      <w:r w:rsidRPr="00950357">
        <w:rPr>
          <w:rFonts w:ascii="Times New Roman" w:hAnsi="Times New Roman"/>
          <w:sz w:val="24"/>
          <w:szCs w:val="24"/>
        </w:rPr>
        <w:t xml:space="preserve"> Kişisel Verilerin Korunması Kanunu</w:t>
      </w: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UYGULAMA</w:t>
      </w:r>
    </w:p>
    <w:p w:rsidR="008D73E8" w:rsidRPr="00950357" w:rsidRDefault="008D73E8" w:rsidP="00D54E33">
      <w:pPr>
        <w:pStyle w:val="ListeParagraf"/>
        <w:contextualSpacing/>
        <w:jc w:val="both"/>
        <w:rPr>
          <w:rFonts w:ascii="Times New Roman" w:hAnsi="Times New Roman"/>
          <w:b/>
          <w:sz w:val="24"/>
          <w:szCs w:val="24"/>
        </w:rPr>
      </w:pPr>
    </w:p>
    <w:p w:rsidR="00F83C10" w:rsidRPr="00950357" w:rsidRDefault="0099466B" w:rsidP="00950357">
      <w:pPr>
        <w:pStyle w:val="ListeParagraf"/>
        <w:numPr>
          <w:ilvl w:val="1"/>
          <w:numId w:val="1"/>
        </w:numPr>
        <w:contextualSpacing/>
        <w:jc w:val="both"/>
        <w:rPr>
          <w:rFonts w:ascii="Times New Roman" w:hAnsi="Times New Roman"/>
          <w:b/>
          <w:sz w:val="24"/>
          <w:szCs w:val="24"/>
        </w:rPr>
      </w:pPr>
      <w:r w:rsidRPr="00950357">
        <w:rPr>
          <w:rFonts w:ascii="Times New Roman" w:hAnsi="Times New Roman"/>
          <w:b/>
          <w:sz w:val="24"/>
          <w:szCs w:val="24"/>
        </w:rPr>
        <w:t>Varlıkların İmhası</w:t>
      </w: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jc w:val="both"/>
        <w:rPr>
          <w:rFonts w:ascii="Times New Roman" w:hAnsi="Times New Roman"/>
          <w:sz w:val="24"/>
          <w:szCs w:val="24"/>
        </w:rPr>
      </w:pPr>
      <w:r w:rsidRPr="00950357">
        <w:rPr>
          <w:rFonts w:ascii="Times New Roman" w:hAnsi="Times New Roman"/>
          <w:sz w:val="24"/>
          <w:szCs w:val="24"/>
        </w:rPr>
        <w:t>Bilgi kayıt özelliğine sahip her türlü cihazın üzerindeki bilgiler yetkisiz erişime karşı silinir ve cihaz üzerindeki disk ve kayıt mekanizması fiziksel olarak tahrip edilir.</w:t>
      </w: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numPr>
          <w:ilvl w:val="1"/>
          <w:numId w:val="1"/>
        </w:numPr>
        <w:contextualSpacing/>
        <w:jc w:val="both"/>
        <w:rPr>
          <w:rFonts w:ascii="Times New Roman" w:hAnsi="Times New Roman"/>
          <w:b/>
          <w:sz w:val="24"/>
          <w:szCs w:val="24"/>
        </w:rPr>
      </w:pPr>
      <w:r w:rsidRPr="00950357">
        <w:rPr>
          <w:rFonts w:ascii="Times New Roman" w:hAnsi="Times New Roman"/>
          <w:b/>
          <w:sz w:val="24"/>
          <w:szCs w:val="24"/>
        </w:rPr>
        <w:t>Verilerin Silinmesi Yöntemleri</w:t>
      </w:r>
    </w:p>
    <w:p w:rsidR="00F83C10" w:rsidRPr="00950357" w:rsidRDefault="00246150" w:rsidP="00950357">
      <w:pPr>
        <w:pStyle w:val="ListeParagraf"/>
        <w:jc w:val="both"/>
        <w:rPr>
          <w:rFonts w:ascii="Times New Roman" w:hAnsi="Times New Roman"/>
          <w:sz w:val="24"/>
          <w:szCs w:val="24"/>
        </w:rPr>
      </w:pPr>
    </w:p>
    <w:p w:rsidR="00F83C10" w:rsidRPr="00950357" w:rsidRDefault="0099466B" w:rsidP="00950357">
      <w:pPr>
        <w:pStyle w:val="ListeParagraf"/>
        <w:numPr>
          <w:ilvl w:val="0"/>
          <w:numId w:val="2"/>
        </w:numPr>
        <w:contextualSpacing/>
        <w:jc w:val="both"/>
        <w:rPr>
          <w:rFonts w:ascii="Times New Roman" w:hAnsi="Times New Roman"/>
          <w:sz w:val="24"/>
          <w:szCs w:val="24"/>
        </w:rPr>
      </w:pPr>
      <w:proofErr w:type="gramStart"/>
      <w:r w:rsidRPr="00950357">
        <w:rPr>
          <w:rFonts w:ascii="Times New Roman" w:hAnsi="Times New Roman"/>
          <w:sz w:val="24"/>
          <w:szCs w:val="24"/>
        </w:rPr>
        <w:t>Kağıt</w:t>
      </w:r>
      <w:proofErr w:type="gramEnd"/>
      <w:r w:rsidRPr="00950357">
        <w:rPr>
          <w:rFonts w:ascii="Times New Roman" w:hAnsi="Times New Roman"/>
          <w:sz w:val="24"/>
          <w:szCs w:val="24"/>
        </w:rPr>
        <w:t xml:space="preserve"> ortamında bulunan Kişisel Veriler, kağıt öğütücüsü ile imha edilerek ya da gerekli durumlarda karartma yöntemi kullanılarak silinmektedir.</w:t>
      </w:r>
    </w:p>
    <w:p w:rsidR="00F83C10" w:rsidRPr="00950357" w:rsidRDefault="0099466B" w:rsidP="00950357">
      <w:pPr>
        <w:pStyle w:val="ListeParagraf"/>
        <w:numPr>
          <w:ilvl w:val="0"/>
          <w:numId w:val="2"/>
        </w:numPr>
        <w:contextualSpacing/>
        <w:jc w:val="both"/>
        <w:rPr>
          <w:rFonts w:ascii="Times New Roman" w:hAnsi="Times New Roman"/>
          <w:sz w:val="24"/>
          <w:szCs w:val="24"/>
        </w:rPr>
      </w:pPr>
      <w:r w:rsidRPr="00950357">
        <w:rPr>
          <w:rFonts w:ascii="Times New Roman" w:hAnsi="Times New Roman"/>
          <w:sz w:val="24"/>
          <w:szCs w:val="24"/>
        </w:rPr>
        <w:t>İşletim sistemindeki silme komutu ile silinir.</w:t>
      </w:r>
    </w:p>
    <w:p w:rsidR="00F83C10" w:rsidRPr="00950357" w:rsidRDefault="0099466B" w:rsidP="00950357">
      <w:pPr>
        <w:pStyle w:val="ListeParagraf"/>
        <w:numPr>
          <w:ilvl w:val="0"/>
          <w:numId w:val="2"/>
        </w:numPr>
        <w:contextualSpacing/>
        <w:jc w:val="both"/>
        <w:rPr>
          <w:rFonts w:ascii="Times New Roman" w:hAnsi="Times New Roman"/>
          <w:sz w:val="24"/>
          <w:szCs w:val="24"/>
        </w:rPr>
      </w:pPr>
      <w:r w:rsidRPr="00950357">
        <w:rPr>
          <w:rFonts w:ascii="Times New Roman" w:hAnsi="Times New Roman"/>
          <w:sz w:val="24"/>
          <w:szCs w:val="24"/>
        </w:rPr>
        <w:t>Kalıcı biçimlendirme ile veriler ulaşılamaz hale getirilir.</w:t>
      </w:r>
    </w:p>
    <w:p w:rsidR="00D54E33" w:rsidRDefault="0099466B" w:rsidP="00D54E33">
      <w:pPr>
        <w:pStyle w:val="ListeParagraf"/>
        <w:numPr>
          <w:ilvl w:val="0"/>
          <w:numId w:val="2"/>
        </w:numPr>
        <w:contextualSpacing/>
        <w:jc w:val="both"/>
        <w:rPr>
          <w:rFonts w:ascii="Times New Roman" w:hAnsi="Times New Roman"/>
          <w:sz w:val="24"/>
          <w:szCs w:val="24"/>
        </w:rPr>
      </w:pPr>
      <w:r w:rsidRPr="00950357">
        <w:rPr>
          <w:rFonts w:ascii="Times New Roman" w:hAnsi="Times New Roman"/>
          <w:sz w:val="24"/>
          <w:szCs w:val="24"/>
        </w:rPr>
        <w:t>Veri Tabanları: Verilerin bulunduğu ilgili satırlar veri tabanı komutları ile silinir.</w:t>
      </w:r>
    </w:p>
    <w:p w:rsidR="00020DA3" w:rsidRPr="00D54E33" w:rsidRDefault="00DA7905" w:rsidP="00D54E33">
      <w:pPr>
        <w:pStyle w:val="ListeParagraf"/>
        <w:numPr>
          <w:ilvl w:val="0"/>
          <w:numId w:val="2"/>
        </w:numPr>
        <w:contextualSpacing/>
        <w:jc w:val="both"/>
        <w:rPr>
          <w:rFonts w:ascii="Times New Roman" w:hAnsi="Times New Roman"/>
          <w:sz w:val="24"/>
          <w:szCs w:val="24"/>
        </w:rPr>
      </w:pPr>
      <w:r>
        <w:rPr>
          <w:rFonts w:ascii="Times New Roman" w:hAnsi="Times New Roman"/>
          <w:sz w:val="24"/>
          <w:szCs w:val="24"/>
        </w:rPr>
        <w:t>Sanal Sunucula</w:t>
      </w:r>
      <w:r w:rsidR="00020DA3">
        <w:rPr>
          <w:rFonts w:ascii="Times New Roman" w:hAnsi="Times New Roman"/>
          <w:sz w:val="24"/>
          <w:szCs w:val="24"/>
        </w:rPr>
        <w:t>r: sıfır yazdırma işlemi yapılarak silinir.</w:t>
      </w:r>
    </w:p>
    <w:p w:rsidR="00F83C10" w:rsidRDefault="00246150" w:rsidP="00950357">
      <w:pPr>
        <w:pStyle w:val="ListeParagraf"/>
        <w:jc w:val="both"/>
        <w:rPr>
          <w:rFonts w:ascii="Times New Roman" w:hAnsi="Times New Roman"/>
          <w:sz w:val="24"/>
          <w:szCs w:val="24"/>
        </w:rPr>
      </w:pPr>
    </w:p>
    <w:p w:rsidR="00DA7905" w:rsidRDefault="00DA7905" w:rsidP="00950357">
      <w:pPr>
        <w:pStyle w:val="ListeParagraf"/>
        <w:jc w:val="both"/>
        <w:rPr>
          <w:rFonts w:ascii="Times New Roman" w:hAnsi="Times New Roman"/>
          <w:sz w:val="24"/>
          <w:szCs w:val="24"/>
        </w:rPr>
      </w:pPr>
    </w:p>
    <w:p w:rsidR="00DA7905" w:rsidRPr="00950357" w:rsidRDefault="00DA7905" w:rsidP="00950357">
      <w:pPr>
        <w:pStyle w:val="ListeParagraf"/>
        <w:jc w:val="both"/>
        <w:rPr>
          <w:rFonts w:ascii="Times New Roman" w:hAnsi="Times New Roman"/>
          <w:sz w:val="24"/>
          <w:szCs w:val="24"/>
        </w:rPr>
      </w:pPr>
    </w:p>
    <w:p w:rsidR="00F83C10" w:rsidRPr="00D54E33" w:rsidRDefault="0099466B" w:rsidP="00950357">
      <w:pPr>
        <w:pStyle w:val="ListeParagraf"/>
        <w:numPr>
          <w:ilvl w:val="1"/>
          <w:numId w:val="1"/>
        </w:numPr>
        <w:contextualSpacing/>
        <w:jc w:val="both"/>
        <w:rPr>
          <w:rFonts w:ascii="Times New Roman" w:hAnsi="Times New Roman"/>
          <w:b/>
          <w:sz w:val="24"/>
          <w:szCs w:val="24"/>
        </w:rPr>
      </w:pPr>
      <w:r w:rsidRPr="00950357">
        <w:rPr>
          <w:rFonts w:ascii="Times New Roman" w:hAnsi="Times New Roman"/>
          <w:b/>
          <w:sz w:val="24"/>
          <w:szCs w:val="24"/>
        </w:rPr>
        <w:lastRenderedPageBreak/>
        <w:t>Varlıkların ve Verinin Yok Edilmesi Yöntemleri</w:t>
      </w:r>
    </w:p>
    <w:p w:rsidR="00F83C10" w:rsidRPr="00950357" w:rsidRDefault="0099466B" w:rsidP="00950357">
      <w:pPr>
        <w:pStyle w:val="ListeParagraf"/>
        <w:numPr>
          <w:ilvl w:val="0"/>
          <w:numId w:val="3"/>
        </w:numPr>
        <w:contextualSpacing/>
        <w:jc w:val="both"/>
        <w:rPr>
          <w:rFonts w:ascii="Times New Roman" w:hAnsi="Times New Roman"/>
          <w:sz w:val="24"/>
          <w:szCs w:val="24"/>
        </w:rPr>
      </w:pPr>
      <w:r w:rsidRPr="00950357">
        <w:rPr>
          <w:rFonts w:ascii="Times New Roman" w:hAnsi="Times New Roman"/>
          <w:sz w:val="24"/>
          <w:szCs w:val="24"/>
        </w:rPr>
        <w:t>Yerel Sistemlerde: De-manyetize etme, fiziksel yok etme, üzerine yazma yöntemlerinden uygun olanı kullanılarak yok edilir.</w:t>
      </w:r>
    </w:p>
    <w:p w:rsidR="00F83C10" w:rsidRPr="00950357" w:rsidRDefault="0099466B" w:rsidP="00950357">
      <w:pPr>
        <w:pStyle w:val="ListeParagraf"/>
        <w:numPr>
          <w:ilvl w:val="0"/>
          <w:numId w:val="3"/>
        </w:numPr>
        <w:contextualSpacing/>
        <w:jc w:val="both"/>
        <w:rPr>
          <w:rFonts w:ascii="Times New Roman" w:hAnsi="Times New Roman"/>
          <w:sz w:val="24"/>
          <w:szCs w:val="24"/>
        </w:rPr>
      </w:pPr>
      <w:r w:rsidRPr="00950357">
        <w:rPr>
          <w:rFonts w:ascii="Times New Roman" w:hAnsi="Times New Roman"/>
          <w:sz w:val="24"/>
          <w:szCs w:val="24"/>
        </w:rPr>
        <w:t>Çevresel Sistemler: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Ağ Cihazları (switch, router vb.) : a maddesinde belirtilen uygun yöntemler ile yok edilir.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Flash tabanlı ortamlar: İlgili üreticinin önerdiği yöntemler ya da a maddesinde belirtilen yöntemler ile yok edilir.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Manyetik bant: De-manyetize edilerek ya da yakma, eritme gibi fiziksel yöntemlerle yok edilir.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Sim Kart ve sabit hafıza kartları: a maddesinde de belirtilen uygun yöntemler ile yok edilir.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Optik diskler: yakma, küçük parçalara ayırma, eritme gibi fiziksel yöntemlerle yok edilir.</w:t>
      </w:r>
    </w:p>
    <w:p w:rsidR="00F83C10" w:rsidRPr="00950357" w:rsidRDefault="0099466B" w:rsidP="00950357">
      <w:pPr>
        <w:pStyle w:val="ListeParagraf"/>
        <w:numPr>
          <w:ilvl w:val="0"/>
          <w:numId w:val="4"/>
        </w:numPr>
        <w:contextualSpacing/>
        <w:jc w:val="both"/>
        <w:rPr>
          <w:rFonts w:ascii="Times New Roman" w:hAnsi="Times New Roman"/>
          <w:sz w:val="24"/>
          <w:szCs w:val="24"/>
        </w:rPr>
      </w:pPr>
      <w:r w:rsidRPr="00950357">
        <w:rPr>
          <w:rFonts w:ascii="Times New Roman" w:hAnsi="Times New Roman"/>
          <w:sz w:val="24"/>
          <w:szCs w:val="24"/>
        </w:rPr>
        <w:t>Veri Kayıt Ortamı sabit olan çevre birimleri: a maddesinde belirtilen uygun yöntemler ile yok edilir.</w:t>
      </w:r>
    </w:p>
    <w:p w:rsidR="00F83C10" w:rsidRPr="00950357" w:rsidRDefault="0099466B" w:rsidP="00950357">
      <w:pPr>
        <w:pStyle w:val="ListeParagraf"/>
        <w:numPr>
          <w:ilvl w:val="0"/>
          <w:numId w:val="3"/>
        </w:numPr>
        <w:contextualSpacing/>
        <w:jc w:val="both"/>
        <w:rPr>
          <w:rFonts w:ascii="Times New Roman" w:hAnsi="Times New Roman"/>
          <w:sz w:val="24"/>
          <w:szCs w:val="24"/>
        </w:rPr>
      </w:pPr>
      <w:r w:rsidRPr="00950357">
        <w:rPr>
          <w:rFonts w:ascii="Times New Roman" w:hAnsi="Times New Roman"/>
          <w:sz w:val="24"/>
          <w:szCs w:val="24"/>
        </w:rPr>
        <w:t xml:space="preserve">Basılı Ortamlar: </w:t>
      </w:r>
      <w:proofErr w:type="gramStart"/>
      <w:r w:rsidRPr="00950357">
        <w:rPr>
          <w:rFonts w:ascii="Times New Roman" w:hAnsi="Times New Roman"/>
          <w:sz w:val="24"/>
          <w:szCs w:val="24"/>
        </w:rPr>
        <w:t>Kağıt</w:t>
      </w:r>
      <w:proofErr w:type="gramEnd"/>
      <w:r w:rsidRPr="00950357">
        <w:rPr>
          <w:rFonts w:ascii="Times New Roman" w:hAnsi="Times New Roman"/>
          <w:sz w:val="24"/>
          <w:szCs w:val="24"/>
        </w:rPr>
        <w:t xml:space="preserve"> imha makinaları kullanılarak yok edilir. Orijinal </w:t>
      </w:r>
      <w:proofErr w:type="gramStart"/>
      <w:r w:rsidRPr="00950357">
        <w:rPr>
          <w:rFonts w:ascii="Times New Roman" w:hAnsi="Times New Roman"/>
          <w:sz w:val="24"/>
          <w:szCs w:val="24"/>
        </w:rPr>
        <w:t>kağıt</w:t>
      </w:r>
      <w:proofErr w:type="gramEnd"/>
      <w:r w:rsidRPr="00950357">
        <w:rPr>
          <w:rFonts w:ascii="Times New Roman" w:hAnsi="Times New Roman"/>
          <w:sz w:val="24"/>
          <w:szCs w:val="24"/>
        </w:rPr>
        <w:t xml:space="preserve"> formattan tarama yoluyla elektronik ortama aktarılan Kişisel veriler ise bulundukları ortama göre uygun yöntemlerle yok edilirler.</w:t>
      </w:r>
    </w:p>
    <w:p w:rsidR="00F83C10" w:rsidRPr="00950357" w:rsidRDefault="00246150" w:rsidP="00950357">
      <w:pPr>
        <w:pStyle w:val="ListeParagraf"/>
        <w:jc w:val="both"/>
        <w:rPr>
          <w:rFonts w:ascii="Times New Roman" w:hAnsi="Times New Roman"/>
          <w:sz w:val="24"/>
          <w:szCs w:val="24"/>
        </w:rPr>
      </w:pPr>
    </w:p>
    <w:p w:rsidR="008D73E8" w:rsidRPr="00950357" w:rsidRDefault="008D73E8" w:rsidP="00950357">
      <w:pPr>
        <w:pStyle w:val="ListeParagraf"/>
        <w:jc w:val="both"/>
        <w:rPr>
          <w:rFonts w:ascii="Times New Roman" w:hAnsi="Times New Roman"/>
          <w:sz w:val="24"/>
          <w:szCs w:val="24"/>
        </w:rPr>
      </w:pPr>
    </w:p>
    <w:p w:rsidR="008D73E8" w:rsidRPr="00950357" w:rsidRDefault="008D73E8" w:rsidP="00950357">
      <w:pPr>
        <w:pStyle w:val="ListeParagraf"/>
        <w:numPr>
          <w:ilvl w:val="1"/>
          <w:numId w:val="1"/>
        </w:numPr>
        <w:jc w:val="both"/>
        <w:rPr>
          <w:rFonts w:ascii="Times New Roman" w:hAnsi="Times New Roman"/>
          <w:sz w:val="24"/>
          <w:szCs w:val="24"/>
        </w:rPr>
      </w:pPr>
      <w:r w:rsidRPr="00950357">
        <w:rPr>
          <w:rFonts w:ascii="Times New Roman" w:hAnsi="Times New Roman"/>
          <w:b/>
          <w:bCs/>
          <w:color w:val="000000"/>
          <w:sz w:val="24"/>
          <w:szCs w:val="24"/>
        </w:rPr>
        <w:t>İmha İlkeleri: </w:t>
      </w:r>
    </w:p>
    <w:p w:rsidR="008D73E8" w:rsidRPr="00950357" w:rsidRDefault="008D73E8" w:rsidP="00950357">
      <w:pPr>
        <w:pStyle w:val="ListeParagraf"/>
        <w:jc w:val="both"/>
        <w:rPr>
          <w:rFonts w:ascii="Times New Roman" w:hAnsi="Times New Roman"/>
          <w:b/>
          <w:bCs/>
          <w:color w:val="000000"/>
          <w:sz w:val="24"/>
          <w:szCs w:val="24"/>
        </w:rPr>
      </w:pPr>
    </w:p>
    <w:p w:rsidR="008D73E8" w:rsidRPr="00950357" w:rsidRDefault="008D73E8" w:rsidP="00950357">
      <w:pPr>
        <w:pStyle w:val="NormalWeb"/>
        <w:spacing w:before="0" w:beforeAutospacing="0" w:after="120" w:afterAutospacing="0"/>
        <w:jc w:val="both"/>
        <w:rPr>
          <w:color w:val="000000"/>
        </w:rPr>
      </w:pPr>
      <w:r w:rsidRPr="00950357">
        <w:rPr>
          <w:color w:val="000000"/>
        </w:rPr>
        <w:t>Kayıt imha ilkeleri, organizasyonun bilgi güvenliği ve gizliliği ile uyumlu bir şekilde belirli kayıtları imha etmesini sağlayan temel prensiplerdir. Bu ilkeler, organizasyonun yasal düzenlemelere uymasını, bilgi güvenliğini korumasını ve kayıtları gereksiz yere uzun süre saklamamasını sağlar.</w:t>
      </w:r>
    </w:p>
    <w:p w:rsidR="008D73E8" w:rsidRPr="00950357" w:rsidRDefault="008D73E8" w:rsidP="00950357">
      <w:pPr>
        <w:pStyle w:val="NormalWeb"/>
        <w:numPr>
          <w:ilvl w:val="2"/>
          <w:numId w:val="1"/>
        </w:numPr>
        <w:spacing w:before="0" w:beforeAutospacing="0" w:after="120" w:afterAutospacing="0"/>
        <w:jc w:val="both"/>
        <w:rPr>
          <w:color w:val="000000"/>
        </w:rPr>
      </w:pPr>
      <w:r w:rsidRPr="00950357">
        <w:rPr>
          <w:b/>
          <w:bCs/>
          <w:color w:val="000000"/>
        </w:rPr>
        <w:t>Yasal ve Düzenleyici Uyum:</w:t>
      </w:r>
    </w:p>
    <w:p w:rsidR="008D73E8" w:rsidRPr="00950357" w:rsidRDefault="008D73E8" w:rsidP="00950357">
      <w:pPr>
        <w:pStyle w:val="NormalWeb"/>
        <w:spacing w:before="0" w:beforeAutospacing="0" w:after="120" w:afterAutospacing="0"/>
        <w:ind w:left="708"/>
        <w:jc w:val="both"/>
      </w:pPr>
      <w:r w:rsidRPr="00950357">
        <w:rPr>
          <w:color w:val="000000"/>
        </w:rPr>
        <w:t xml:space="preserve">Kayıt imha süreçleri, yasal düzenlemelere ve endüstri standartlarına tam uyum sağlamalıdır. Yasaların ve düzenleyici gerekliliklerin belirlediği süreç ve </w:t>
      </w:r>
      <w:proofErr w:type="gramStart"/>
      <w:r w:rsidRPr="00950357">
        <w:rPr>
          <w:color w:val="000000"/>
        </w:rPr>
        <w:t>kriterlere</w:t>
      </w:r>
      <w:proofErr w:type="gramEnd"/>
      <w:r w:rsidRPr="00950357">
        <w:rPr>
          <w:color w:val="000000"/>
        </w:rPr>
        <w:t xml:space="preserve"> uyum, organizasyonun hukuki ve etik sorumluluklarını yerine getirmesini sağlar.</w:t>
      </w:r>
    </w:p>
    <w:p w:rsidR="008D73E8" w:rsidRPr="00950357" w:rsidRDefault="008D73E8" w:rsidP="00950357">
      <w:pPr>
        <w:pStyle w:val="NormalWeb"/>
        <w:numPr>
          <w:ilvl w:val="2"/>
          <w:numId w:val="1"/>
        </w:numPr>
        <w:spacing w:before="0" w:beforeAutospacing="0" w:after="120" w:afterAutospacing="0"/>
        <w:jc w:val="both"/>
      </w:pPr>
      <w:r w:rsidRPr="00950357">
        <w:rPr>
          <w:b/>
          <w:bCs/>
          <w:color w:val="000000"/>
        </w:rPr>
        <w:t>İhtiyaca Dayalı İmha:</w:t>
      </w:r>
    </w:p>
    <w:p w:rsidR="008D73E8" w:rsidRPr="00950357" w:rsidRDefault="008D73E8" w:rsidP="00950357">
      <w:pPr>
        <w:pStyle w:val="NormalWeb"/>
        <w:spacing w:before="0" w:beforeAutospacing="0" w:after="0" w:afterAutospacing="0"/>
        <w:ind w:left="720"/>
        <w:jc w:val="both"/>
      </w:pPr>
      <w:r w:rsidRPr="00950357">
        <w:rPr>
          <w:color w:val="000000"/>
        </w:rPr>
        <w:t>Kayıtların imha zamanı, ihtiyaçlar ve gereksinimlere dayalı olarak belirlenmelidir. Gereksiz yere uzun süre saklanan kayıtların azaltılması ve sadece gereken bilgilerin korunması, kaynak kullanımını optimize eder.</w:t>
      </w:r>
    </w:p>
    <w:p w:rsidR="008D73E8" w:rsidRPr="00950357" w:rsidRDefault="008D73E8" w:rsidP="00950357">
      <w:pPr>
        <w:pStyle w:val="NormalWeb"/>
        <w:numPr>
          <w:ilvl w:val="2"/>
          <w:numId w:val="1"/>
        </w:numPr>
        <w:spacing w:before="0" w:beforeAutospacing="0" w:after="120" w:afterAutospacing="0"/>
        <w:jc w:val="both"/>
        <w:textAlignment w:val="baseline"/>
        <w:rPr>
          <w:b/>
          <w:bCs/>
          <w:color w:val="000000"/>
        </w:rPr>
      </w:pPr>
      <w:r w:rsidRPr="00950357">
        <w:rPr>
          <w:b/>
          <w:bCs/>
          <w:color w:val="000000"/>
        </w:rPr>
        <w:t>Gizlilik ve Güvenlik:</w:t>
      </w:r>
    </w:p>
    <w:p w:rsidR="008D73E8" w:rsidRDefault="008D73E8" w:rsidP="00950357">
      <w:pPr>
        <w:pStyle w:val="NormalWeb"/>
        <w:spacing w:before="0" w:beforeAutospacing="0" w:after="120" w:afterAutospacing="0"/>
        <w:ind w:left="720"/>
        <w:jc w:val="both"/>
        <w:rPr>
          <w:color w:val="000000"/>
        </w:rPr>
      </w:pPr>
      <w:r w:rsidRPr="00950357">
        <w:rPr>
          <w:color w:val="000000"/>
        </w:rPr>
        <w:t>İmha süreci, kayıtların gizliliğini ve güvenliğini korumalıdır. Kayıtların imha edildiği süreçte yetkisiz erişimlere karşı önlemler alınmalıdır. Fiziksel kayıtlar parçalanmalı veya güvenli bir şekilde yok edilmelidir. Dijital kayıtların silinmesi, üzerine yazılması veya güvenli bir şekilde imha edilmesi gerekebilir.</w:t>
      </w:r>
    </w:p>
    <w:p w:rsidR="00DA7905" w:rsidRPr="00950357" w:rsidRDefault="00DA7905" w:rsidP="00950357">
      <w:pPr>
        <w:pStyle w:val="NormalWeb"/>
        <w:spacing w:before="0" w:beforeAutospacing="0" w:after="120" w:afterAutospacing="0"/>
        <w:ind w:left="720"/>
        <w:jc w:val="both"/>
      </w:pPr>
    </w:p>
    <w:p w:rsidR="008D73E8" w:rsidRPr="00950357" w:rsidRDefault="008D73E8" w:rsidP="00950357">
      <w:pPr>
        <w:pStyle w:val="NormalWeb"/>
        <w:numPr>
          <w:ilvl w:val="2"/>
          <w:numId w:val="1"/>
        </w:numPr>
        <w:spacing w:before="0" w:beforeAutospacing="0" w:after="0" w:afterAutospacing="0"/>
        <w:jc w:val="both"/>
        <w:textAlignment w:val="baseline"/>
        <w:rPr>
          <w:b/>
          <w:bCs/>
          <w:color w:val="000000"/>
        </w:rPr>
      </w:pPr>
      <w:r w:rsidRPr="00950357">
        <w:rPr>
          <w:b/>
          <w:bCs/>
          <w:color w:val="000000"/>
        </w:rPr>
        <w:lastRenderedPageBreak/>
        <w:t>Belirlenmiş İmha Süreçleri:</w:t>
      </w:r>
    </w:p>
    <w:p w:rsidR="008D73E8" w:rsidRPr="00950357" w:rsidRDefault="008D73E8" w:rsidP="00950357">
      <w:pPr>
        <w:pStyle w:val="NormalWeb"/>
        <w:spacing w:before="0" w:beforeAutospacing="0" w:after="120" w:afterAutospacing="0"/>
        <w:ind w:left="720"/>
        <w:jc w:val="both"/>
      </w:pPr>
      <w:r w:rsidRPr="00950357">
        <w:rPr>
          <w:color w:val="000000"/>
        </w:rPr>
        <w:t>Belirli kayıtların imha süreçleri önceden belirlenmiş olmalıdır. İmha süreci adımları, hangi kayıtların ne zaman ve nasıl imha edileceğini net bir şekilde tanımlamalıdır.</w:t>
      </w:r>
    </w:p>
    <w:p w:rsidR="008D73E8" w:rsidRPr="00950357" w:rsidRDefault="008D73E8" w:rsidP="00950357">
      <w:pPr>
        <w:pStyle w:val="NormalWeb"/>
        <w:spacing w:before="0" w:beforeAutospacing="0" w:after="120" w:afterAutospacing="0"/>
        <w:jc w:val="both"/>
      </w:pPr>
    </w:p>
    <w:p w:rsidR="008D73E8" w:rsidRPr="00950357" w:rsidRDefault="008D73E8" w:rsidP="00950357">
      <w:pPr>
        <w:pStyle w:val="NormalWeb"/>
        <w:numPr>
          <w:ilvl w:val="1"/>
          <w:numId w:val="1"/>
        </w:numPr>
        <w:spacing w:before="0" w:beforeAutospacing="0" w:after="120" w:afterAutospacing="0"/>
        <w:jc w:val="both"/>
      </w:pPr>
      <w:r w:rsidRPr="00950357">
        <w:rPr>
          <w:b/>
          <w:bCs/>
          <w:color w:val="000000"/>
        </w:rPr>
        <w:t>İmha Yöntemleri:</w:t>
      </w:r>
    </w:p>
    <w:p w:rsidR="008D73E8" w:rsidRPr="00950357" w:rsidRDefault="008D73E8" w:rsidP="00950357">
      <w:pPr>
        <w:pStyle w:val="NormalWeb"/>
        <w:spacing w:before="0" w:beforeAutospacing="0" w:after="120" w:afterAutospacing="0"/>
        <w:jc w:val="both"/>
        <w:rPr>
          <w:color w:val="000000"/>
        </w:rPr>
      </w:pPr>
      <w:r w:rsidRPr="00950357">
        <w:rPr>
          <w:color w:val="000000"/>
        </w:rPr>
        <w:t>Kayıt imha yöntemleri, organizasyonların bilgi güvenliği standartlarına uygun olarak belirli kayıtları güvenli bir şekilde imha etmelerini sağlayan çeşitli yöntemleri içerir. İmha yöntemleri, kayıtların fiziksel veya dijital formatta olup olmadığına bağlı olarak farklılık gösterebilir. İşte bu yöntemlere örnekler:</w:t>
      </w:r>
    </w:p>
    <w:p w:rsidR="008D73E8" w:rsidRPr="00950357" w:rsidRDefault="008D73E8" w:rsidP="00950357">
      <w:pPr>
        <w:pStyle w:val="NormalWeb"/>
        <w:spacing w:before="0" w:beforeAutospacing="0" w:after="120" w:afterAutospacing="0"/>
        <w:jc w:val="both"/>
      </w:pPr>
    </w:p>
    <w:p w:rsidR="008D73E8" w:rsidRPr="00950357" w:rsidRDefault="008D73E8" w:rsidP="00950357">
      <w:pPr>
        <w:pStyle w:val="NormalWeb"/>
        <w:numPr>
          <w:ilvl w:val="2"/>
          <w:numId w:val="1"/>
        </w:numPr>
        <w:spacing w:before="0" w:beforeAutospacing="0" w:after="120" w:afterAutospacing="0"/>
        <w:jc w:val="both"/>
      </w:pPr>
      <w:r w:rsidRPr="00950357">
        <w:rPr>
          <w:b/>
          <w:bCs/>
          <w:color w:val="000000"/>
        </w:rPr>
        <w:t>Fiziksel Kayıtlar için İmha Yöntemleri:</w:t>
      </w:r>
    </w:p>
    <w:p w:rsidR="008D73E8" w:rsidRPr="00950357"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Parçalama (</w:t>
      </w:r>
      <w:proofErr w:type="spellStart"/>
      <w:r w:rsidRPr="00950357">
        <w:rPr>
          <w:b/>
          <w:bCs/>
          <w:color w:val="000000"/>
        </w:rPr>
        <w:t>Shredding</w:t>
      </w:r>
      <w:proofErr w:type="spellEnd"/>
      <w:r w:rsidRPr="00950357">
        <w:rPr>
          <w:b/>
          <w:bCs/>
          <w:color w:val="000000"/>
        </w:rPr>
        <w:t>):</w:t>
      </w:r>
    </w:p>
    <w:p w:rsidR="008D73E8" w:rsidRPr="00950357" w:rsidRDefault="008D73E8" w:rsidP="00950357">
      <w:pPr>
        <w:pStyle w:val="NormalWeb"/>
        <w:spacing w:before="0" w:beforeAutospacing="0" w:after="120" w:afterAutospacing="0"/>
        <w:ind w:left="360"/>
        <w:jc w:val="both"/>
        <w:rPr>
          <w:color w:val="000000"/>
        </w:rPr>
      </w:pPr>
      <w:r w:rsidRPr="00950357">
        <w:rPr>
          <w:color w:val="000000"/>
        </w:rPr>
        <w:t>Kâğıt belgelerin parçalanması, gizli bilgilerin korunması ve gizliliğin sağlanması için etkili bir yöntemdir. Parçalama işlemi, belgeleri küçük parçalara ayırarak gerçekleştirilir.</w:t>
      </w:r>
    </w:p>
    <w:p w:rsidR="008D73E8" w:rsidRPr="00950357" w:rsidRDefault="008D73E8" w:rsidP="00950357">
      <w:pPr>
        <w:pStyle w:val="NormalWeb"/>
        <w:spacing w:before="0" w:beforeAutospacing="0" w:after="120" w:afterAutospacing="0"/>
        <w:ind w:left="360"/>
        <w:jc w:val="both"/>
      </w:pPr>
    </w:p>
    <w:p w:rsidR="008D73E8" w:rsidRPr="00950357"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Yakma (</w:t>
      </w:r>
      <w:proofErr w:type="spellStart"/>
      <w:r w:rsidRPr="00950357">
        <w:rPr>
          <w:b/>
          <w:bCs/>
          <w:color w:val="000000"/>
        </w:rPr>
        <w:t>Incineration</w:t>
      </w:r>
      <w:proofErr w:type="spellEnd"/>
      <w:r w:rsidRPr="00950357">
        <w:rPr>
          <w:b/>
          <w:bCs/>
          <w:color w:val="000000"/>
        </w:rPr>
        <w:t>):</w:t>
      </w:r>
    </w:p>
    <w:p w:rsidR="008D73E8" w:rsidRPr="00950357" w:rsidRDefault="008D73E8" w:rsidP="00950357">
      <w:pPr>
        <w:pStyle w:val="NormalWeb"/>
        <w:spacing w:before="0" w:beforeAutospacing="0" w:after="120" w:afterAutospacing="0"/>
        <w:ind w:left="360"/>
        <w:jc w:val="both"/>
        <w:rPr>
          <w:color w:val="000000"/>
        </w:rPr>
      </w:pPr>
      <w:r w:rsidRPr="00950357">
        <w:rPr>
          <w:color w:val="000000"/>
        </w:rPr>
        <w:t xml:space="preserve">Belirli güvenlik standartlarına uygun olarak gerçekleştirilen yakma işlemi, </w:t>
      </w:r>
      <w:proofErr w:type="gramStart"/>
      <w:r w:rsidRPr="00950357">
        <w:rPr>
          <w:color w:val="000000"/>
        </w:rPr>
        <w:t>kağıt</w:t>
      </w:r>
      <w:proofErr w:type="gramEnd"/>
      <w:r w:rsidRPr="00950357">
        <w:rPr>
          <w:color w:val="000000"/>
        </w:rPr>
        <w:t xml:space="preserve"> belgelerin tamamen yok edilmesini sağlar. Ancak, çevresel etkileri nedeniyle dikkatlice ve uygun şekilde yapılmalıdır.</w:t>
      </w:r>
    </w:p>
    <w:p w:rsidR="008D73E8" w:rsidRPr="00950357" w:rsidRDefault="008D73E8" w:rsidP="00950357">
      <w:pPr>
        <w:pStyle w:val="NormalWeb"/>
        <w:spacing w:before="0" w:beforeAutospacing="0" w:after="120" w:afterAutospacing="0"/>
        <w:ind w:left="360"/>
        <w:jc w:val="both"/>
      </w:pPr>
    </w:p>
    <w:p w:rsidR="008D73E8" w:rsidRPr="00950357"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Öğütme (</w:t>
      </w:r>
      <w:proofErr w:type="spellStart"/>
      <w:r w:rsidRPr="00950357">
        <w:rPr>
          <w:b/>
          <w:bCs/>
          <w:color w:val="000000"/>
        </w:rPr>
        <w:t>Pulping</w:t>
      </w:r>
      <w:proofErr w:type="spellEnd"/>
      <w:r w:rsidRPr="00950357">
        <w:rPr>
          <w:b/>
          <w:bCs/>
          <w:color w:val="000000"/>
        </w:rPr>
        <w:t>):</w:t>
      </w:r>
    </w:p>
    <w:p w:rsidR="008D73E8" w:rsidRPr="00950357" w:rsidRDefault="008D73E8" w:rsidP="00950357">
      <w:pPr>
        <w:pStyle w:val="NormalWeb"/>
        <w:spacing w:before="0" w:beforeAutospacing="0" w:after="120" w:afterAutospacing="0"/>
        <w:ind w:left="360"/>
        <w:jc w:val="both"/>
      </w:pPr>
      <w:proofErr w:type="gramStart"/>
      <w:r w:rsidRPr="00950357">
        <w:rPr>
          <w:color w:val="000000"/>
        </w:rPr>
        <w:t>Kağıt</w:t>
      </w:r>
      <w:proofErr w:type="gramEnd"/>
      <w:r w:rsidRPr="00950357">
        <w:rPr>
          <w:color w:val="000000"/>
        </w:rPr>
        <w:t xml:space="preserve"> belgelerin öğütülerek hamur haline getirilmesi, kağıdın tekrar kullanılmasını engelleyerek güvenli bir imha yöntemi olabilir.</w:t>
      </w:r>
    </w:p>
    <w:p w:rsidR="008D73E8" w:rsidRPr="00950357" w:rsidRDefault="008D73E8" w:rsidP="00950357">
      <w:pPr>
        <w:pStyle w:val="NormalWeb"/>
        <w:spacing w:before="0" w:beforeAutospacing="0" w:after="120" w:afterAutospacing="0"/>
        <w:jc w:val="both"/>
        <w:textAlignment w:val="baseline"/>
        <w:rPr>
          <w:b/>
          <w:bCs/>
          <w:color w:val="000000"/>
        </w:rPr>
      </w:pPr>
    </w:p>
    <w:p w:rsidR="008D73E8" w:rsidRPr="00950357"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Manyetik Medya İmhası:</w:t>
      </w:r>
    </w:p>
    <w:p w:rsidR="008D73E8" w:rsidRPr="00950357" w:rsidRDefault="008D73E8" w:rsidP="00950357">
      <w:pPr>
        <w:pStyle w:val="NormalWeb"/>
        <w:spacing w:before="0" w:beforeAutospacing="0" w:after="120" w:afterAutospacing="0"/>
        <w:ind w:left="360"/>
        <w:jc w:val="both"/>
      </w:pPr>
      <w:r w:rsidRPr="00950357">
        <w:rPr>
          <w:color w:val="000000"/>
        </w:rPr>
        <w:t>Manyetik taşıyıcılar, özellikle eski disketler veya manyetik bantlar gibi, manyetik bir ortamı kullanarak bilgi depolar. Bu tür medyaların özel olarak imha edilmesi gerekebilir.</w:t>
      </w:r>
    </w:p>
    <w:p w:rsidR="008D73E8" w:rsidRPr="00950357"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Fiziksel Yıkım:</w:t>
      </w:r>
    </w:p>
    <w:p w:rsidR="008D73E8" w:rsidRPr="00950357" w:rsidRDefault="008D73E8" w:rsidP="00950357">
      <w:pPr>
        <w:pStyle w:val="NormalWeb"/>
        <w:spacing w:before="0" w:beforeAutospacing="0" w:after="120" w:afterAutospacing="0"/>
        <w:ind w:left="360"/>
        <w:jc w:val="both"/>
      </w:pPr>
      <w:r w:rsidRPr="00950357">
        <w:rPr>
          <w:color w:val="000000"/>
        </w:rPr>
        <w:t>Özellikle sabit disk sürücüleri gibi fiziksel medya, parçalama veya delme gibi yöntemlerle fiziksel olarak yok edilebilir.</w:t>
      </w:r>
    </w:p>
    <w:p w:rsidR="008D73E8" w:rsidRDefault="008D73E8" w:rsidP="00950357">
      <w:pPr>
        <w:pStyle w:val="NormalWeb"/>
        <w:spacing w:before="0" w:beforeAutospacing="0" w:after="120" w:afterAutospacing="0"/>
        <w:jc w:val="both"/>
      </w:pPr>
    </w:p>
    <w:p w:rsidR="00DA7905" w:rsidRDefault="00DA7905" w:rsidP="00950357">
      <w:pPr>
        <w:pStyle w:val="NormalWeb"/>
        <w:spacing w:before="0" w:beforeAutospacing="0" w:after="120" w:afterAutospacing="0"/>
        <w:jc w:val="both"/>
      </w:pPr>
    </w:p>
    <w:p w:rsidR="00DA7905" w:rsidRDefault="00DA7905" w:rsidP="00950357">
      <w:pPr>
        <w:pStyle w:val="NormalWeb"/>
        <w:spacing w:before="0" w:beforeAutospacing="0" w:after="120" w:afterAutospacing="0"/>
        <w:jc w:val="both"/>
      </w:pPr>
    </w:p>
    <w:p w:rsidR="00DA7905" w:rsidRPr="00950357" w:rsidRDefault="00DA7905" w:rsidP="00950357">
      <w:pPr>
        <w:pStyle w:val="NormalWeb"/>
        <w:spacing w:before="0" w:beforeAutospacing="0" w:after="120" w:afterAutospacing="0"/>
        <w:jc w:val="both"/>
      </w:pPr>
    </w:p>
    <w:p w:rsidR="008D73E8" w:rsidRPr="00950357" w:rsidRDefault="008D73E8" w:rsidP="00950357">
      <w:pPr>
        <w:pStyle w:val="NormalWeb"/>
        <w:numPr>
          <w:ilvl w:val="2"/>
          <w:numId w:val="1"/>
        </w:numPr>
        <w:spacing w:before="0" w:beforeAutospacing="0" w:after="120" w:afterAutospacing="0"/>
        <w:jc w:val="both"/>
        <w:rPr>
          <w:b/>
          <w:bCs/>
          <w:color w:val="000000"/>
        </w:rPr>
      </w:pPr>
      <w:r w:rsidRPr="00950357">
        <w:rPr>
          <w:b/>
          <w:bCs/>
          <w:color w:val="000000"/>
        </w:rPr>
        <w:lastRenderedPageBreak/>
        <w:t>Dijital Kayıtlar için İmha Yöntemleri:</w:t>
      </w:r>
    </w:p>
    <w:p w:rsidR="00D54E33" w:rsidRDefault="008D73E8" w:rsidP="00950357">
      <w:pPr>
        <w:pStyle w:val="NormalWeb"/>
        <w:numPr>
          <w:ilvl w:val="3"/>
          <w:numId w:val="1"/>
        </w:numPr>
        <w:spacing w:before="0" w:beforeAutospacing="0" w:after="120" w:afterAutospacing="0"/>
        <w:jc w:val="both"/>
        <w:textAlignment w:val="baseline"/>
        <w:rPr>
          <w:b/>
          <w:bCs/>
          <w:color w:val="000000"/>
        </w:rPr>
      </w:pPr>
      <w:r w:rsidRPr="00950357">
        <w:rPr>
          <w:b/>
          <w:bCs/>
          <w:color w:val="000000"/>
        </w:rPr>
        <w:t>Dijital Silme (</w:t>
      </w:r>
      <w:proofErr w:type="spellStart"/>
      <w:r w:rsidRPr="00950357">
        <w:rPr>
          <w:b/>
          <w:bCs/>
          <w:color w:val="000000"/>
        </w:rPr>
        <w:t>Digital</w:t>
      </w:r>
      <w:proofErr w:type="spellEnd"/>
      <w:r w:rsidRPr="00950357">
        <w:rPr>
          <w:b/>
          <w:bCs/>
          <w:color w:val="000000"/>
        </w:rPr>
        <w:t xml:space="preserve"> </w:t>
      </w:r>
      <w:proofErr w:type="spellStart"/>
      <w:r w:rsidRPr="00950357">
        <w:rPr>
          <w:b/>
          <w:bCs/>
          <w:color w:val="000000"/>
        </w:rPr>
        <w:t>Erasure</w:t>
      </w:r>
      <w:proofErr w:type="spellEnd"/>
      <w:r w:rsidRPr="00950357">
        <w:rPr>
          <w:b/>
          <w:bCs/>
          <w:color w:val="000000"/>
        </w:rPr>
        <w:t>):</w:t>
      </w:r>
    </w:p>
    <w:p w:rsidR="00020DA3" w:rsidRPr="00374028" w:rsidRDefault="008D73E8" w:rsidP="00374028">
      <w:pPr>
        <w:pStyle w:val="NormalWeb"/>
        <w:spacing w:before="0" w:beforeAutospacing="0" w:after="120" w:afterAutospacing="0"/>
        <w:ind w:firstLine="708"/>
        <w:jc w:val="both"/>
        <w:textAlignment w:val="baseline"/>
        <w:rPr>
          <w:color w:val="000000"/>
        </w:rPr>
      </w:pPr>
      <w:r w:rsidRPr="00D54E33">
        <w:rPr>
          <w:color w:val="000000"/>
        </w:rPr>
        <w:t>Dijital verilerin üzerine yazılarak veya silinerek imha edilmesi, bilgilerin tekrar kullanılmamasını sağlar. Ancak, bu yöntem, belirli güvenlik standartlarına uygun olarak yapılmalıdır.</w:t>
      </w:r>
    </w:p>
    <w:p w:rsidR="008D73E8" w:rsidRPr="00950357" w:rsidRDefault="008D73E8" w:rsidP="00950357">
      <w:pPr>
        <w:pStyle w:val="NormalWeb"/>
        <w:numPr>
          <w:ilvl w:val="3"/>
          <w:numId w:val="1"/>
        </w:numPr>
        <w:spacing w:before="0" w:beforeAutospacing="0" w:after="120" w:afterAutospacing="0"/>
        <w:jc w:val="both"/>
      </w:pPr>
      <w:r w:rsidRPr="00950357">
        <w:rPr>
          <w:b/>
          <w:bCs/>
          <w:color w:val="000000"/>
        </w:rPr>
        <w:t>Fiziksel Medya Yok Etme:</w:t>
      </w:r>
    </w:p>
    <w:p w:rsidR="008D73E8" w:rsidRPr="00950357" w:rsidRDefault="008D73E8" w:rsidP="00D54E33">
      <w:pPr>
        <w:pStyle w:val="NormalWeb"/>
        <w:spacing w:before="0" w:beforeAutospacing="0" w:after="120" w:afterAutospacing="0"/>
        <w:ind w:firstLine="708"/>
        <w:jc w:val="both"/>
      </w:pPr>
      <w:r w:rsidRPr="00950357">
        <w:rPr>
          <w:color w:val="000000"/>
        </w:rPr>
        <w:t>Dijital verilerin depolandığı fiziksel medyaların (hard disk sürücüleri, USB bellekler) fiziksel olarak imha edilmesi, bilgilerin geri getirilmesini engeller.</w:t>
      </w:r>
    </w:p>
    <w:p w:rsidR="008D73E8" w:rsidRPr="00950357" w:rsidRDefault="008D73E8" w:rsidP="00950357">
      <w:pPr>
        <w:pStyle w:val="NormalWeb"/>
        <w:numPr>
          <w:ilvl w:val="3"/>
          <w:numId w:val="1"/>
        </w:numPr>
        <w:spacing w:before="0" w:beforeAutospacing="0" w:after="120" w:afterAutospacing="0"/>
        <w:jc w:val="both"/>
      </w:pPr>
      <w:r w:rsidRPr="00950357">
        <w:rPr>
          <w:b/>
          <w:bCs/>
          <w:color w:val="000000"/>
        </w:rPr>
        <w:t>Fabrika Sıfırlama (</w:t>
      </w:r>
      <w:proofErr w:type="spellStart"/>
      <w:r w:rsidRPr="00950357">
        <w:rPr>
          <w:b/>
          <w:bCs/>
          <w:color w:val="000000"/>
        </w:rPr>
        <w:t>Factory</w:t>
      </w:r>
      <w:proofErr w:type="spellEnd"/>
      <w:r w:rsidRPr="00950357">
        <w:rPr>
          <w:b/>
          <w:bCs/>
          <w:color w:val="000000"/>
        </w:rPr>
        <w:t xml:space="preserve"> </w:t>
      </w:r>
      <w:proofErr w:type="spellStart"/>
      <w:r w:rsidRPr="00950357">
        <w:rPr>
          <w:b/>
          <w:bCs/>
          <w:color w:val="000000"/>
        </w:rPr>
        <w:t>Reset</w:t>
      </w:r>
      <w:proofErr w:type="spellEnd"/>
      <w:r w:rsidRPr="00950357">
        <w:rPr>
          <w:b/>
          <w:bCs/>
          <w:color w:val="000000"/>
        </w:rPr>
        <w:t>):</w:t>
      </w:r>
    </w:p>
    <w:p w:rsidR="008D73E8" w:rsidRPr="00950357" w:rsidRDefault="008D73E8" w:rsidP="00D54E33">
      <w:pPr>
        <w:pStyle w:val="NormalWeb"/>
        <w:spacing w:before="0" w:beforeAutospacing="0" w:after="120" w:afterAutospacing="0"/>
        <w:ind w:firstLine="708"/>
        <w:jc w:val="both"/>
      </w:pPr>
      <w:r w:rsidRPr="00950357">
        <w:rPr>
          <w:color w:val="000000"/>
        </w:rPr>
        <w:t>Elektronik cihazlar, özellikle mobil cihazlar veya diğer veri depolama cihazları, fabrika sıfırlama işlemi ile bilgileri temizleyebilir. Ancak, bu işlem güvenli bir şekilde yapılmalıdır.</w:t>
      </w:r>
    </w:p>
    <w:p w:rsidR="008D73E8" w:rsidRPr="00950357" w:rsidRDefault="008D73E8" w:rsidP="00950357">
      <w:pPr>
        <w:pStyle w:val="NormalWeb"/>
        <w:numPr>
          <w:ilvl w:val="3"/>
          <w:numId w:val="1"/>
        </w:numPr>
        <w:spacing w:before="0" w:beforeAutospacing="0" w:after="120" w:afterAutospacing="0"/>
        <w:jc w:val="both"/>
      </w:pPr>
      <w:r w:rsidRPr="00950357">
        <w:rPr>
          <w:b/>
          <w:bCs/>
          <w:color w:val="000000"/>
        </w:rPr>
        <w:t>Manyetik Silme:</w:t>
      </w:r>
    </w:p>
    <w:p w:rsidR="008D73E8" w:rsidRPr="00950357" w:rsidRDefault="008D73E8" w:rsidP="00D54E33">
      <w:pPr>
        <w:pStyle w:val="NormalWeb"/>
        <w:spacing w:before="0" w:beforeAutospacing="0" w:after="120" w:afterAutospacing="0"/>
        <w:ind w:firstLine="708"/>
        <w:jc w:val="both"/>
      </w:pPr>
      <w:r w:rsidRPr="00950357">
        <w:rPr>
          <w:color w:val="000000"/>
        </w:rPr>
        <w:t>Manyetik bir ortamı kullanarak bilgileri silme işlemi, manyetik medyaların güvenli bir şekilde imha edilmesini sağlar.</w:t>
      </w:r>
    </w:p>
    <w:p w:rsidR="008D73E8" w:rsidRPr="00950357" w:rsidRDefault="008D73E8" w:rsidP="00950357">
      <w:pPr>
        <w:pStyle w:val="NormalWeb"/>
        <w:numPr>
          <w:ilvl w:val="3"/>
          <w:numId w:val="1"/>
        </w:numPr>
        <w:spacing w:before="0" w:beforeAutospacing="0" w:after="120" w:afterAutospacing="0"/>
        <w:jc w:val="both"/>
      </w:pPr>
      <w:r w:rsidRPr="00950357">
        <w:rPr>
          <w:b/>
          <w:bCs/>
          <w:color w:val="000000"/>
        </w:rPr>
        <w:t>Veri Şifreleme Anahtarlarının İmhası:</w:t>
      </w:r>
    </w:p>
    <w:p w:rsidR="008D73E8" w:rsidRPr="00950357" w:rsidRDefault="008D73E8" w:rsidP="00D54E33">
      <w:pPr>
        <w:pStyle w:val="NormalWeb"/>
        <w:spacing w:before="0" w:beforeAutospacing="0" w:after="120" w:afterAutospacing="0"/>
        <w:ind w:firstLine="708"/>
        <w:jc w:val="both"/>
      </w:pPr>
      <w:r w:rsidRPr="00950357">
        <w:rPr>
          <w:color w:val="000000"/>
        </w:rPr>
        <w:t>Şifrelenmiş verilerin erişimi için kullanılan şifreleme anahtarlarının güvenli bir şekilde imha edilmesi, şifrelenmiş bilgilerin güvenli bir şekilde erişimini engeller.</w:t>
      </w:r>
    </w:p>
    <w:p w:rsidR="00DF36DB" w:rsidRPr="00950357" w:rsidRDefault="00DF36DB" w:rsidP="00950357">
      <w:pPr>
        <w:pStyle w:val="NormalWeb"/>
        <w:spacing w:before="0" w:beforeAutospacing="0" w:after="120" w:afterAutospacing="0"/>
        <w:jc w:val="both"/>
        <w:rPr>
          <w:b/>
          <w:bCs/>
          <w:color w:val="000000"/>
        </w:rPr>
      </w:pPr>
    </w:p>
    <w:p w:rsidR="00DF36DB" w:rsidRPr="00950357" w:rsidRDefault="00DF36DB" w:rsidP="00950357">
      <w:pPr>
        <w:pStyle w:val="NormalWeb"/>
        <w:numPr>
          <w:ilvl w:val="0"/>
          <w:numId w:val="1"/>
        </w:numPr>
        <w:spacing w:before="0" w:beforeAutospacing="0" w:after="120" w:afterAutospacing="0"/>
        <w:jc w:val="both"/>
        <w:rPr>
          <w:b/>
          <w:bCs/>
          <w:color w:val="000000"/>
        </w:rPr>
      </w:pPr>
      <w:r w:rsidRPr="00950357">
        <w:rPr>
          <w:b/>
          <w:bCs/>
        </w:rPr>
        <w:t>KİŞİSEL VERİLERİ İMHA TEKNİKLERİ</w:t>
      </w:r>
    </w:p>
    <w:p w:rsidR="008D73E8" w:rsidRPr="00950357" w:rsidRDefault="00DF36DB" w:rsidP="00950357">
      <w:pPr>
        <w:pStyle w:val="NormalWeb"/>
        <w:spacing w:before="0" w:beforeAutospacing="0" w:after="120" w:afterAutospacing="0"/>
        <w:ind w:firstLine="360"/>
        <w:jc w:val="both"/>
        <w:rPr>
          <w:color w:val="000000"/>
        </w:rPr>
      </w:pPr>
      <w:r w:rsidRPr="00950357">
        <w:rPr>
          <w:color w:val="000000"/>
        </w:rPr>
        <w:t>İlgili mevzuatta öngörülen süre ya da işlendikleri amaç için gerekli olan saklama süresinin sonunda kişisel veriler re ‘sen (periyodik imha süreleri) veya ilgili kişinin başvurusu üzerine yine ilgili mevzuat hükümlerine uygun olarak aşağıda belirtilen tekniklerle imha edilir.</w:t>
      </w:r>
    </w:p>
    <w:p w:rsidR="00DF36DB" w:rsidRPr="00950357" w:rsidRDefault="00DF36DB" w:rsidP="00950357">
      <w:pPr>
        <w:pStyle w:val="NormalWeb"/>
        <w:numPr>
          <w:ilvl w:val="1"/>
          <w:numId w:val="1"/>
        </w:numPr>
        <w:spacing w:before="240" w:beforeAutospacing="0" w:after="0" w:afterAutospacing="0"/>
        <w:jc w:val="both"/>
        <w:rPr>
          <w:b/>
          <w:bCs/>
        </w:rPr>
      </w:pPr>
      <w:r w:rsidRPr="00950357">
        <w:rPr>
          <w:b/>
          <w:bCs/>
          <w:color w:val="000000"/>
        </w:rPr>
        <w:t>Kişisel Verilerin Silinmesi</w:t>
      </w:r>
    </w:p>
    <w:p w:rsidR="00DF36DB" w:rsidRPr="00950357" w:rsidRDefault="00BA3134" w:rsidP="00950357">
      <w:pPr>
        <w:pStyle w:val="NormalWeb"/>
        <w:spacing w:before="240" w:beforeAutospacing="0" w:after="0" w:afterAutospacing="0"/>
        <w:jc w:val="both"/>
        <w:rPr>
          <w:color w:val="000000"/>
        </w:rPr>
      </w:pPr>
      <w:r>
        <w:rPr>
          <w:color w:val="000000"/>
        </w:rPr>
        <w:t>Kişisel veriler Tablo-1</w:t>
      </w:r>
      <w:r w:rsidR="00DF36DB" w:rsidRPr="00950357">
        <w:rPr>
          <w:color w:val="000000"/>
        </w:rPr>
        <w:t>’de verilen yöntemlerle silinir.</w:t>
      </w:r>
    </w:p>
    <w:p w:rsidR="00DF36DB" w:rsidRPr="00950357" w:rsidRDefault="00DF36DB" w:rsidP="00950357">
      <w:pPr>
        <w:pStyle w:val="NormalWeb"/>
        <w:spacing w:before="240" w:beforeAutospacing="0" w:after="0" w:afterAutospacing="0"/>
        <w:jc w:val="both"/>
        <w:rPr>
          <w:b/>
          <w:bCs/>
          <w:i/>
          <w:iCs/>
        </w:rPr>
      </w:pPr>
      <w:r w:rsidRPr="00950357">
        <w:rPr>
          <w:b/>
          <w:bCs/>
          <w:i/>
          <w:iCs/>
          <w:color w:val="000000"/>
        </w:rPr>
        <w:t xml:space="preserve">Tablo </w:t>
      </w:r>
      <w:r w:rsidR="00DA7905">
        <w:rPr>
          <w:b/>
          <w:bCs/>
          <w:i/>
          <w:iCs/>
          <w:color w:val="000000"/>
        </w:rPr>
        <w:t>1</w:t>
      </w:r>
      <w:r w:rsidRPr="00950357">
        <w:rPr>
          <w:b/>
          <w:bCs/>
          <w:i/>
          <w:iCs/>
          <w:color w:val="000000"/>
        </w:rPr>
        <w:t>: Kişisel Verilerin Silinmesi</w:t>
      </w: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73"/>
        <w:gridCol w:w="7578"/>
      </w:tblGrid>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Veri Kayıt Ortamı</w:t>
            </w:r>
          </w:p>
        </w:tc>
        <w:tc>
          <w:tcPr>
            <w:tcW w:w="7578" w:type="dxa"/>
            <w:vAlign w:val="center"/>
            <w:hideMark/>
          </w:tcPr>
          <w:p w:rsidR="00DF36DB" w:rsidRPr="00950357" w:rsidRDefault="00DF36DB" w:rsidP="00950357">
            <w:pPr>
              <w:pStyle w:val="NormalWeb"/>
              <w:spacing w:before="240" w:beforeAutospacing="0" w:after="0" w:afterAutospacing="0"/>
              <w:jc w:val="both"/>
            </w:pPr>
            <w:r w:rsidRPr="00950357">
              <w:rPr>
                <w:color w:val="000000"/>
              </w:rPr>
              <w:t>Açıklama</w:t>
            </w:r>
          </w:p>
        </w:tc>
      </w:tr>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Sunucularda Yer Alan Kişisel Veriler</w:t>
            </w:r>
          </w:p>
        </w:tc>
        <w:tc>
          <w:tcPr>
            <w:tcW w:w="7578" w:type="dxa"/>
            <w:vAlign w:val="center"/>
            <w:hideMark/>
          </w:tcPr>
          <w:p w:rsidR="00DF36DB" w:rsidRPr="00950357" w:rsidRDefault="00DF36DB" w:rsidP="00950357">
            <w:pPr>
              <w:pStyle w:val="NormalWeb"/>
              <w:spacing w:before="240" w:beforeAutospacing="0" w:after="0" w:afterAutospacing="0"/>
              <w:jc w:val="both"/>
            </w:pPr>
            <w:r w:rsidRPr="00950357">
              <w:rPr>
                <w:color w:val="000000"/>
              </w:rPr>
              <w:t>Sunucularda yer alan kişisel verilerden saklanmasını gerektiren süre sona erenler için sistem yöneticisi tarafından ilgili kullanıcıların erişim yetkisi kaldırılarak silme işlemi yapılır.</w:t>
            </w:r>
          </w:p>
        </w:tc>
      </w:tr>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Elektronik Ortamda Yer Alan Kişisel Veriler</w:t>
            </w:r>
          </w:p>
        </w:tc>
        <w:tc>
          <w:tcPr>
            <w:tcW w:w="7578" w:type="dxa"/>
            <w:vAlign w:val="center"/>
            <w:hideMark/>
          </w:tcPr>
          <w:p w:rsidR="00DF36DB" w:rsidRPr="00950357" w:rsidRDefault="00DF36DB" w:rsidP="00950357">
            <w:pPr>
              <w:pStyle w:val="NormalWeb"/>
              <w:spacing w:before="240" w:beforeAutospacing="0" w:after="0" w:afterAutospacing="0"/>
              <w:jc w:val="both"/>
            </w:pPr>
            <w:r w:rsidRPr="00950357">
              <w:rPr>
                <w:color w:val="000000"/>
              </w:rPr>
              <w:t>Elektronik ortamda yer alan kişisel verilerden saklanmasını gerektiren süre sona erenler, veri tabanı yöneticisi hariç diğer çalışanlar (ilgili kullanıcılar) için hiçbir şekilde erişilemez ve tekrar kullanılamaz hale getirilir.</w:t>
            </w:r>
          </w:p>
        </w:tc>
      </w:tr>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lastRenderedPageBreak/>
              <w:t>Fiziksel Ortamda Yer Alan Kişisel Veriler</w:t>
            </w:r>
          </w:p>
        </w:tc>
        <w:tc>
          <w:tcPr>
            <w:tcW w:w="7578" w:type="dxa"/>
            <w:vAlign w:val="center"/>
            <w:hideMark/>
          </w:tcPr>
          <w:p w:rsidR="00DF36DB" w:rsidRPr="00950357" w:rsidRDefault="00DF36DB" w:rsidP="00950357">
            <w:pPr>
              <w:pStyle w:val="NormalWeb"/>
              <w:spacing w:before="240" w:beforeAutospacing="0" w:after="0" w:afterAutospacing="0"/>
              <w:jc w:val="both"/>
            </w:pPr>
            <w:r w:rsidRPr="00950357">
              <w:rPr>
                <w:color w:val="000000"/>
              </w:rPr>
              <w:t>Fiziksel ortamda tutulan kişisel verilerden saklanmasını gerektiren süre sona erenler için sorumlu birim yöneticisi hariç diğer çalışanlar için hiçbir şekilde erişilemez ve tekrar kullanılamaz hale getirilir. Ayrıca, üzeri okunamayacak şekilde çizilerek/boyanarak/silinerek karartma işlemi de uygulanır.</w:t>
            </w:r>
          </w:p>
        </w:tc>
      </w:tr>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Taşınabilir Medyada Bulunan Kişisel Veriler</w:t>
            </w:r>
          </w:p>
        </w:tc>
        <w:tc>
          <w:tcPr>
            <w:tcW w:w="7578" w:type="dxa"/>
            <w:vAlign w:val="center"/>
            <w:hideMark/>
          </w:tcPr>
          <w:p w:rsidR="00DF36DB" w:rsidRPr="00950357" w:rsidRDefault="00DF36DB" w:rsidP="00950357">
            <w:pPr>
              <w:pStyle w:val="NormalWeb"/>
              <w:spacing w:before="240" w:beforeAutospacing="0" w:after="0" w:afterAutospacing="0"/>
              <w:jc w:val="both"/>
            </w:pPr>
            <w:r w:rsidRPr="00950357">
              <w:rPr>
                <w:color w:val="000000"/>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tc>
      </w:tr>
    </w:tbl>
    <w:p w:rsidR="00DF36DB" w:rsidRPr="00950357" w:rsidRDefault="00DF36DB" w:rsidP="00950357">
      <w:pPr>
        <w:pStyle w:val="NormalWeb"/>
        <w:numPr>
          <w:ilvl w:val="1"/>
          <w:numId w:val="1"/>
        </w:numPr>
        <w:spacing w:before="240" w:beforeAutospacing="0" w:after="0" w:afterAutospacing="0"/>
        <w:jc w:val="both"/>
        <w:rPr>
          <w:b/>
          <w:bCs/>
        </w:rPr>
      </w:pPr>
      <w:r w:rsidRPr="00950357">
        <w:rPr>
          <w:b/>
          <w:bCs/>
          <w:color w:val="000000"/>
        </w:rPr>
        <w:t>Kişisel Verilerin Yok Edilmesi</w:t>
      </w:r>
    </w:p>
    <w:p w:rsidR="00DF36DB" w:rsidRPr="00950357" w:rsidRDefault="00DF36DB" w:rsidP="00950357">
      <w:pPr>
        <w:pStyle w:val="NormalWeb"/>
        <w:spacing w:before="240" w:beforeAutospacing="0" w:after="0" w:afterAutospacing="0"/>
        <w:jc w:val="both"/>
        <w:rPr>
          <w:b/>
          <w:bCs/>
          <w:i/>
          <w:iCs/>
        </w:rPr>
      </w:pPr>
      <w:r w:rsidRPr="00950357">
        <w:rPr>
          <w:b/>
          <w:bCs/>
          <w:i/>
          <w:iCs/>
          <w:color w:val="000000"/>
        </w:rPr>
        <w:t xml:space="preserve">Tablo </w:t>
      </w:r>
      <w:proofErr w:type="gramStart"/>
      <w:r w:rsidR="00DA7905">
        <w:rPr>
          <w:b/>
          <w:bCs/>
          <w:i/>
          <w:iCs/>
          <w:color w:val="000000"/>
        </w:rPr>
        <w:t>2</w:t>
      </w:r>
      <w:r w:rsidRPr="00950357">
        <w:rPr>
          <w:b/>
          <w:bCs/>
          <w:i/>
          <w:iCs/>
          <w:color w:val="000000"/>
        </w:rPr>
        <w:t xml:space="preserve"> : Kişisel</w:t>
      </w:r>
      <w:proofErr w:type="gramEnd"/>
      <w:r w:rsidRPr="00950357">
        <w:rPr>
          <w:b/>
          <w:bCs/>
          <w:i/>
          <w:iCs/>
          <w:color w:val="000000"/>
        </w:rPr>
        <w:t xml:space="preserve"> Verilerin Yok edilmesi</w:t>
      </w: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6"/>
        <w:gridCol w:w="7635"/>
      </w:tblGrid>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 Fiziksel Ortamda Yer Alan Kişisel Veriler</w:t>
            </w:r>
          </w:p>
        </w:tc>
        <w:tc>
          <w:tcPr>
            <w:tcW w:w="7635" w:type="dxa"/>
            <w:vAlign w:val="center"/>
            <w:hideMark/>
          </w:tcPr>
          <w:p w:rsidR="00DF36DB" w:rsidRPr="00950357" w:rsidRDefault="00DF36DB" w:rsidP="00950357">
            <w:pPr>
              <w:pStyle w:val="NormalWeb"/>
              <w:spacing w:before="240" w:beforeAutospacing="0" w:after="0" w:afterAutospacing="0"/>
              <w:jc w:val="both"/>
            </w:pPr>
            <w:r w:rsidRPr="00950357">
              <w:rPr>
                <w:color w:val="000000"/>
              </w:rPr>
              <w:t>Kâğıt ortamında yer alan kişisel verilerden saklanmasını gerektiren süre sona erenler, kâğıt kırpma makinelerinde geri döndürülemeyecek şekilde yok edilir.</w:t>
            </w:r>
          </w:p>
        </w:tc>
      </w:tr>
      <w:tr w:rsidR="00DF36DB" w:rsidRPr="00950357" w:rsidTr="00DA7905">
        <w:tc>
          <w:tcPr>
            <w:tcW w:w="0" w:type="auto"/>
            <w:vAlign w:val="center"/>
            <w:hideMark/>
          </w:tcPr>
          <w:p w:rsidR="00DF36DB" w:rsidRPr="00950357" w:rsidRDefault="00DF36DB" w:rsidP="00950357">
            <w:pPr>
              <w:pStyle w:val="NormalWeb"/>
              <w:spacing w:before="240" w:beforeAutospacing="0" w:after="0" w:afterAutospacing="0"/>
              <w:jc w:val="both"/>
            </w:pPr>
            <w:r w:rsidRPr="00950357">
              <w:rPr>
                <w:color w:val="000000"/>
              </w:rPr>
              <w:t> Optik / Manyetik Medyada Yer Alan Kişisel Veriler</w:t>
            </w:r>
          </w:p>
        </w:tc>
        <w:tc>
          <w:tcPr>
            <w:tcW w:w="7635" w:type="dxa"/>
            <w:vAlign w:val="center"/>
            <w:hideMark/>
          </w:tcPr>
          <w:p w:rsidR="00DF36DB" w:rsidRPr="00950357" w:rsidRDefault="00DF36DB" w:rsidP="00950357">
            <w:pPr>
              <w:pStyle w:val="NormalWeb"/>
              <w:spacing w:before="240" w:beforeAutospacing="0" w:after="0" w:afterAutospacing="0"/>
              <w:jc w:val="both"/>
            </w:pPr>
            <w:r w:rsidRPr="00950357">
              <w:rPr>
                <w:color w:val="000000"/>
              </w:rPr>
              <w:t>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tc>
      </w:tr>
    </w:tbl>
    <w:p w:rsidR="00DF36DB" w:rsidRPr="00950357" w:rsidRDefault="00DF36DB" w:rsidP="00950357">
      <w:pPr>
        <w:pStyle w:val="NormalWeb"/>
        <w:numPr>
          <w:ilvl w:val="1"/>
          <w:numId w:val="1"/>
        </w:numPr>
        <w:spacing w:before="240" w:beforeAutospacing="0" w:after="0" w:afterAutospacing="0"/>
        <w:jc w:val="both"/>
        <w:rPr>
          <w:b/>
          <w:bCs/>
        </w:rPr>
      </w:pPr>
      <w:r w:rsidRPr="00950357">
        <w:rPr>
          <w:b/>
          <w:bCs/>
          <w:color w:val="000000"/>
        </w:rPr>
        <w:t>Kişisel Verilerin Anonim Hale Getirilmesi</w:t>
      </w:r>
    </w:p>
    <w:p w:rsidR="00DF36DB" w:rsidRPr="00950357" w:rsidRDefault="00DF36DB" w:rsidP="00950357">
      <w:pPr>
        <w:pStyle w:val="NormalWeb"/>
        <w:spacing w:before="240" w:beforeAutospacing="0" w:after="0" w:afterAutospacing="0"/>
        <w:jc w:val="both"/>
        <w:rPr>
          <w:color w:val="000000"/>
        </w:rPr>
      </w:pPr>
      <w:r w:rsidRPr="00950357">
        <w:rPr>
          <w:color w:val="000000"/>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 </w:t>
      </w:r>
    </w:p>
    <w:p w:rsidR="00DF36DB" w:rsidRPr="00950357" w:rsidRDefault="00DF36DB" w:rsidP="00950357">
      <w:pPr>
        <w:pStyle w:val="NormalWeb"/>
        <w:spacing w:before="0" w:beforeAutospacing="0" w:after="120" w:afterAutospacing="0"/>
        <w:jc w:val="both"/>
        <w:rPr>
          <w:b/>
          <w:bCs/>
          <w:color w:val="000000"/>
        </w:rPr>
      </w:pPr>
    </w:p>
    <w:p w:rsidR="00DF36DB" w:rsidRPr="00950357" w:rsidRDefault="00DF36DB" w:rsidP="00950357">
      <w:pPr>
        <w:numPr>
          <w:ilvl w:val="0"/>
          <w:numId w:val="1"/>
        </w:numPr>
        <w:spacing w:line="276" w:lineRule="auto"/>
        <w:rPr>
          <w:b/>
          <w:bCs/>
        </w:rPr>
      </w:pPr>
      <w:r w:rsidRPr="00950357">
        <w:rPr>
          <w:b/>
          <w:bCs/>
        </w:rPr>
        <w:t>VERİ TÜRLERİNE GÖRE SAKLANMA VE İMHA SÜRELERİ</w:t>
      </w:r>
    </w:p>
    <w:p w:rsidR="00DF36DB" w:rsidRPr="00950357" w:rsidRDefault="00DF36DB" w:rsidP="00950357">
      <w:pPr>
        <w:pStyle w:val="NormalWeb"/>
        <w:spacing w:before="240" w:beforeAutospacing="0" w:after="0" w:afterAutospacing="0"/>
        <w:jc w:val="both"/>
      </w:pPr>
      <w:r w:rsidRPr="00950357">
        <w:rPr>
          <w:color w:val="000000"/>
        </w:rPr>
        <w:t xml:space="preserve">Aşağıdaki tabloda belirtilen verilerin ilgili muhafaza süreleri boyunca muhafaza edilmesinden, </w:t>
      </w:r>
      <w:proofErr w:type="gramStart"/>
      <w:r w:rsidRPr="00950357">
        <w:rPr>
          <w:color w:val="000000"/>
        </w:rPr>
        <w:t>departman</w:t>
      </w:r>
      <w:proofErr w:type="gramEnd"/>
      <w:r w:rsidRPr="00950357">
        <w:rPr>
          <w:color w:val="000000"/>
        </w:rPr>
        <w:t xml:space="preserve"> yöneticileri sorumludur.</w:t>
      </w:r>
    </w:p>
    <w:p w:rsidR="00F83C10" w:rsidRDefault="00DF36DB" w:rsidP="00BA3134">
      <w:pPr>
        <w:pStyle w:val="NormalWeb"/>
        <w:spacing w:before="240" w:beforeAutospacing="0" w:after="0" w:afterAutospacing="0"/>
        <w:jc w:val="both"/>
        <w:rPr>
          <w:color w:val="000000"/>
        </w:rPr>
      </w:pPr>
      <w:r w:rsidRPr="00950357">
        <w:rPr>
          <w:color w:val="000000"/>
        </w:rPr>
        <w:t>Departman yöneticileri uygun olarak imhaların gerçekleştirilmesinden ve muhafaza süresi dolan kişisel verilerin imhasına ilişkin gerekli hatırlatmaları yapmak bakımından görevli ve yetkilidir.</w:t>
      </w:r>
    </w:p>
    <w:p w:rsidR="00931BE5" w:rsidRDefault="00931BE5" w:rsidP="00BA3134">
      <w:pPr>
        <w:pStyle w:val="NormalWeb"/>
        <w:spacing w:before="240" w:beforeAutospacing="0" w:after="0" w:afterAutospacing="0"/>
        <w:jc w:val="both"/>
        <w:rPr>
          <w:color w:val="000000"/>
        </w:rPr>
      </w:pPr>
    </w:p>
    <w:p w:rsidR="00931BE5" w:rsidRPr="00931BE5" w:rsidRDefault="00931BE5" w:rsidP="00BA3134">
      <w:pPr>
        <w:pStyle w:val="NormalWeb"/>
        <w:spacing w:before="240" w:beforeAutospacing="0" w:after="0" w:afterAutospacing="0"/>
        <w:jc w:val="both"/>
        <w:rPr>
          <w:b/>
          <w:bCs/>
          <w:i/>
          <w:iCs/>
          <w:color w:val="000000"/>
        </w:rPr>
      </w:pPr>
      <w:r w:rsidRPr="00950357">
        <w:rPr>
          <w:b/>
          <w:bCs/>
          <w:i/>
          <w:iCs/>
          <w:color w:val="000000"/>
        </w:rPr>
        <w:t xml:space="preserve">Tablo </w:t>
      </w:r>
      <w:r>
        <w:rPr>
          <w:b/>
          <w:bCs/>
          <w:i/>
          <w:iCs/>
          <w:color w:val="000000"/>
        </w:rPr>
        <w:t>3 : Kişisel Veri Saklama ve İmha Süreleri</w:t>
      </w:r>
    </w:p>
    <w:tbl>
      <w:tblPr>
        <w:tblW w:w="10348"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835"/>
        <w:gridCol w:w="2835"/>
        <w:gridCol w:w="4678"/>
      </w:tblGrid>
      <w:tr w:rsidR="00BA3134" w:rsidRPr="00BA3134" w:rsidTr="00165320">
        <w:tc>
          <w:tcPr>
            <w:tcW w:w="2835" w:type="dxa"/>
            <w:vAlign w:val="center"/>
            <w:hideMark/>
          </w:tcPr>
          <w:p w:rsidR="00BA3134" w:rsidRPr="00BA3134" w:rsidRDefault="00BA3134" w:rsidP="000F0AD3">
            <w:pPr>
              <w:pStyle w:val="NormalWeb"/>
              <w:spacing w:before="240" w:beforeAutospacing="0" w:after="0" w:afterAutospacing="0"/>
            </w:pPr>
            <w:r w:rsidRPr="00BA3134">
              <w:rPr>
                <w:color w:val="000000"/>
              </w:rPr>
              <w:t>VERİ TÜRÜ</w:t>
            </w:r>
          </w:p>
        </w:tc>
        <w:tc>
          <w:tcPr>
            <w:tcW w:w="2835" w:type="dxa"/>
            <w:vAlign w:val="center"/>
            <w:hideMark/>
          </w:tcPr>
          <w:p w:rsidR="00BA3134" w:rsidRPr="00BA3134" w:rsidRDefault="00BA3134" w:rsidP="000F0AD3">
            <w:pPr>
              <w:pStyle w:val="NormalWeb"/>
              <w:spacing w:before="240" w:beforeAutospacing="0" w:after="0" w:afterAutospacing="0"/>
            </w:pPr>
            <w:r w:rsidRPr="00BA3134">
              <w:rPr>
                <w:color w:val="000000"/>
              </w:rPr>
              <w:t>MUHAFAZA SÜRESİ</w:t>
            </w:r>
          </w:p>
        </w:tc>
        <w:tc>
          <w:tcPr>
            <w:tcW w:w="4678" w:type="dxa"/>
            <w:vAlign w:val="center"/>
            <w:hideMark/>
          </w:tcPr>
          <w:p w:rsidR="00BA3134" w:rsidRPr="00BA3134" w:rsidRDefault="00BA3134" w:rsidP="00BA3134">
            <w:pPr>
              <w:pStyle w:val="NormalWeb"/>
              <w:spacing w:before="240" w:beforeAutospacing="0" w:after="0" w:afterAutospacing="0"/>
              <w:jc w:val="center"/>
            </w:pPr>
            <w:r w:rsidRPr="00BA3134">
              <w:rPr>
                <w:color w:val="000000"/>
              </w:rPr>
              <w:t>İMHA SÜRESİ</w:t>
            </w:r>
          </w:p>
        </w:tc>
      </w:tr>
      <w:tr w:rsidR="00BA3134" w:rsidRPr="00BA3134" w:rsidTr="00165320">
        <w:tc>
          <w:tcPr>
            <w:tcW w:w="2835" w:type="dxa"/>
            <w:vAlign w:val="center"/>
            <w:hideMark/>
          </w:tcPr>
          <w:p w:rsidR="00BA3134" w:rsidRPr="00BA3134" w:rsidRDefault="00BA3134" w:rsidP="000F0AD3">
            <w:pPr>
              <w:pStyle w:val="NormalWeb"/>
              <w:spacing w:before="240" w:beforeAutospacing="0" w:after="0" w:afterAutospacing="0"/>
            </w:pPr>
            <w:r w:rsidRPr="00BA3134">
              <w:rPr>
                <w:color w:val="000000"/>
              </w:rPr>
              <w:t>E-postalar ve şirket içi yazışmalar</w:t>
            </w:r>
          </w:p>
        </w:tc>
        <w:tc>
          <w:tcPr>
            <w:tcW w:w="2835" w:type="dxa"/>
            <w:vAlign w:val="center"/>
            <w:hideMark/>
          </w:tcPr>
          <w:p w:rsidR="00BA3134" w:rsidRPr="00BA3134" w:rsidRDefault="00BA3134" w:rsidP="000F0AD3">
            <w:pPr>
              <w:pStyle w:val="NormalWeb"/>
              <w:spacing w:before="240" w:beforeAutospacing="0" w:after="0" w:afterAutospacing="0"/>
            </w:pPr>
            <w:r w:rsidRPr="00BA3134">
              <w:rPr>
                <w:color w:val="000000"/>
              </w:rPr>
              <w:t>10 yıl</w:t>
            </w:r>
          </w:p>
        </w:tc>
        <w:tc>
          <w:tcPr>
            <w:tcW w:w="4678" w:type="dxa"/>
            <w:vAlign w:val="center"/>
            <w:hideMark/>
          </w:tcPr>
          <w:p w:rsidR="00BA3134" w:rsidRPr="00BA3134" w:rsidRDefault="00BA3134" w:rsidP="000F0AD3">
            <w:pPr>
              <w:pStyle w:val="NormalWeb"/>
              <w:spacing w:before="240" w:beforeAutospacing="0" w:after="0" w:afterAutospacing="0"/>
            </w:pPr>
            <w:r w:rsidRPr="00BA3134">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Sözleşmeler</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Sözleşmenin sona ermesini takip eden 10 yıl boyunca</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Müşteri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Müşteri ile girilen son etkileşimi takip eden 10 yıl boyunca</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 xml:space="preserve">Çerezler ve </w:t>
            </w:r>
            <w:proofErr w:type="spellStart"/>
            <w:r w:rsidRPr="00165320">
              <w:rPr>
                <w:color w:val="000000"/>
              </w:rPr>
              <w:t>Log</w:t>
            </w:r>
            <w:proofErr w:type="spellEnd"/>
            <w:r w:rsidRPr="00165320">
              <w:rPr>
                <w:color w:val="000000"/>
              </w:rPr>
              <w:t xml:space="preserve"> Kayıtları</w:t>
            </w:r>
          </w:p>
        </w:tc>
        <w:tc>
          <w:tcPr>
            <w:tcW w:w="2835"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6 ay en fazla 2 yıl</w:t>
            </w:r>
          </w:p>
        </w:tc>
        <w:tc>
          <w:tcPr>
            <w:tcW w:w="4678"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Saklama süresinin bitimini takip eden ilk periyodik imha süresinde</w:t>
            </w:r>
          </w:p>
        </w:tc>
      </w:tr>
      <w:tr w:rsidR="00165320" w:rsidRPr="00BA3134" w:rsidTr="00165320">
        <w:tc>
          <w:tcPr>
            <w:tcW w:w="2835" w:type="dxa"/>
            <w:vAlign w:val="center"/>
          </w:tcPr>
          <w:p w:rsidR="00165320" w:rsidRPr="00165320" w:rsidRDefault="00165320" w:rsidP="000F0AD3">
            <w:pPr>
              <w:pStyle w:val="NormalWeb"/>
              <w:spacing w:before="240" w:beforeAutospacing="0" w:after="0" w:afterAutospacing="0"/>
              <w:rPr>
                <w:color w:val="000000"/>
              </w:rPr>
            </w:pPr>
            <w:r w:rsidRPr="00165320">
              <w:rPr>
                <w:color w:val="000000"/>
              </w:rPr>
              <w:t>Çağrı merkezi Ses Kayıtları</w:t>
            </w:r>
          </w:p>
        </w:tc>
        <w:tc>
          <w:tcPr>
            <w:tcW w:w="2835" w:type="dxa"/>
            <w:vAlign w:val="center"/>
          </w:tcPr>
          <w:p w:rsidR="00165320" w:rsidRPr="00165320" w:rsidRDefault="00165320" w:rsidP="000F0AD3">
            <w:pPr>
              <w:pStyle w:val="NormalWeb"/>
              <w:spacing w:before="240" w:beforeAutospacing="0" w:after="0" w:afterAutospacing="0"/>
              <w:rPr>
                <w:color w:val="000000"/>
              </w:rPr>
            </w:pPr>
            <w:r w:rsidRPr="00165320">
              <w:rPr>
                <w:color w:val="000000"/>
              </w:rPr>
              <w:t>3 yıl</w:t>
            </w:r>
          </w:p>
        </w:tc>
        <w:tc>
          <w:tcPr>
            <w:tcW w:w="4678" w:type="dxa"/>
            <w:vAlign w:val="center"/>
          </w:tcPr>
          <w:p w:rsidR="00165320" w:rsidRPr="00165320" w:rsidRDefault="00165320" w:rsidP="000F0AD3">
            <w:pPr>
              <w:pStyle w:val="NormalWeb"/>
              <w:spacing w:before="240" w:beforeAutospacing="0" w:after="0" w:afterAutospacing="0"/>
              <w:rPr>
                <w:color w:val="000000"/>
              </w:rPr>
            </w:pP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Çalışan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Çalıştıkları süre boyunca</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Eski Çalışan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İşten ayrılmalarını takip eden 10 yıl boyunca</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Çalışan Adaylarına İlişkin Kayıtlar</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Başvuruyu takip eden 2 yıl boyunca</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Çalışan Memnuniyet Anketlerine İlişkin Veriler</w:t>
            </w:r>
          </w:p>
        </w:tc>
        <w:tc>
          <w:tcPr>
            <w:tcW w:w="2835"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Anketin doldurulduğu yılın sona ermesine müteakiben 1 Yıl</w:t>
            </w:r>
          </w:p>
        </w:tc>
        <w:tc>
          <w:tcPr>
            <w:tcW w:w="4678" w:type="dxa"/>
            <w:vAlign w:val="center"/>
          </w:tcPr>
          <w:p w:rsidR="00BA3134" w:rsidRPr="00165320" w:rsidRDefault="00BA3134" w:rsidP="000F0AD3">
            <w:pPr>
              <w:pStyle w:val="NormalWeb"/>
              <w:spacing w:before="240" w:beforeAutospacing="0" w:after="0" w:afterAutospacing="0"/>
              <w:rPr>
                <w:color w:val="000000"/>
              </w:rPr>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Muhasebe ve Finans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10 yıl</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 xml:space="preserve">Şirket İçi </w:t>
            </w:r>
            <w:proofErr w:type="gramStart"/>
            <w:r w:rsidRPr="00165320">
              <w:rPr>
                <w:color w:val="000000"/>
              </w:rPr>
              <w:t>Şikayetler</w:t>
            </w:r>
            <w:proofErr w:type="gramEnd"/>
            <w:r w:rsidRPr="00165320">
              <w:rPr>
                <w:color w:val="000000"/>
              </w:rPr>
              <w:t xml:space="preserve"> ve İlgili Belgeler</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10 yıl</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Hukuk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10 yıl</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lastRenderedPageBreak/>
              <w:t>Resmi Yazışmalar</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Süresiz</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proofErr w:type="spellStart"/>
            <w:r w:rsidRPr="00165320">
              <w:rPr>
                <w:color w:val="000000"/>
              </w:rPr>
              <w:t>Satınalma</w:t>
            </w:r>
            <w:proofErr w:type="spellEnd"/>
            <w:r w:rsidRPr="00165320">
              <w:rPr>
                <w:color w:val="000000"/>
              </w:rPr>
              <w:t xml:space="preserve">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İş ilişkisinin sona erme tarihinden itibaren 10 yıl</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Vergi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5 yıl</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Kamera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30 gün</w:t>
            </w:r>
          </w:p>
        </w:tc>
        <w:tc>
          <w:tcPr>
            <w:tcW w:w="4678" w:type="dxa"/>
            <w:vAlign w:val="center"/>
            <w:hideMark/>
          </w:tcPr>
          <w:p w:rsidR="00BA3134" w:rsidRPr="00165320" w:rsidRDefault="00BA3134" w:rsidP="000F0AD3">
            <w:pPr>
              <w:pStyle w:val="NormalWeb"/>
              <w:spacing w:before="240" w:beforeAutospacing="0" w:after="0" w:afterAutospacing="0"/>
            </w:pPr>
            <w:r w:rsidRPr="00165320">
              <w:rPr>
                <w:color w:val="000000"/>
              </w:rPr>
              <w:t>Saklama süresinin bitimini takip eden ilk periyodik imha süresinde</w:t>
            </w:r>
          </w:p>
        </w:tc>
      </w:tr>
      <w:tr w:rsidR="00BA3134" w:rsidRPr="00BA3134" w:rsidTr="00165320">
        <w:trPr>
          <w:trHeight w:val="360"/>
        </w:trPr>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Ziyaretçi Kayıtları</w:t>
            </w:r>
          </w:p>
        </w:tc>
        <w:tc>
          <w:tcPr>
            <w:tcW w:w="2835" w:type="dxa"/>
            <w:vAlign w:val="center"/>
            <w:hideMark/>
          </w:tcPr>
          <w:p w:rsidR="00BA3134" w:rsidRPr="00165320" w:rsidRDefault="00BA3134" w:rsidP="000F0AD3">
            <w:pPr>
              <w:pStyle w:val="NormalWeb"/>
              <w:spacing w:before="240" w:beforeAutospacing="0" w:after="0" w:afterAutospacing="0"/>
            </w:pPr>
            <w:r w:rsidRPr="00165320">
              <w:rPr>
                <w:color w:val="000000"/>
              </w:rPr>
              <w:t>2 yıl</w:t>
            </w:r>
          </w:p>
        </w:tc>
        <w:tc>
          <w:tcPr>
            <w:tcW w:w="4678" w:type="dxa"/>
            <w:vAlign w:val="center"/>
            <w:hideMark/>
          </w:tcPr>
          <w:p w:rsidR="00BA3134" w:rsidRPr="00165320" w:rsidRDefault="00BA3134" w:rsidP="000F0AD3">
            <w:pPr>
              <w:pStyle w:val="NormalWeb"/>
              <w:spacing w:before="0" w:beforeAutospacing="0" w:after="0" w:afterAutospacing="0"/>
            </w:pPr>
            <w:r w:rsidRPr="00165320">
              <w:rPr>
                <w:color w:val="000000"/>
              </w:rPr>
              <w:t> Saklama süresinin bitimini takip eden ilk periyodik imha süresinde</w:t>
            </w:r>
          </w:p>
        </w:tc>
      </w:tr>
    </w:tbl>
    <w:p w:rsidR="00BA3134" w:rsidRDefault="00BA3134" w:rsidP="00950357">
      <w:pPr>
        <w:pStyle w:val="ListeParagraf"/>
        <w:jc w:val="both"/>
        <w:rPr>
          <w:rFonts w:ascii="Times New Roman" w:hAnsi="Times New Roman"/>
          <w:sz w:val="24"/>
          <w:szCs w:val="24"/>
        </w:rPr>
      </w:pPr>
    </w:p>
    <w:p w:rsidR="00BA3134" w:rsidRPr="00950357" w:rsidRDefault="00BA3134" w:rsidP="00950357">
      <w:pPr>
        <w:pStyle w:val="ListeParagraf"/>
        <w:jc w:val="both"/>
        <w:rPr>
          <w:rFonts w:ascii="Times New Roman" w:hAnsi="Times New Roman"/>
          <w:sz w:val="24"/>
          <w:szCs w:val="24"/>
        </w:rPr>
      </w:pPr>
    </w:p>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İLGİLİ DOKÜMANLAR</w:t>
      </w:r>
    </w:p>
    <w:p w:rsidR="00F83C10" w:rsidRPr="00950357" w:rsidRDefault="00246150" w:rsidP="00950357">
      <w:pPr>
        <w:pStyle w:val="ListeParagraf"/>
        <w:jc w:val="both"/>
        <w:rPr>
          <w:rFonts w:ascii="Times New Roman" w:hAnsi="Times New Roman"/>
          <w:b/>
          <w:sz w:val="24"/>
          <w:szCs w:val="24"/>
        </w:rPr>
      </w:pPr>
    </w:p>
    <w:p w:rsidR="00F83C10" w:rsidRPr="00950357" w:rsidRDefault="0099466B" w:rsidP="00950357">
      <w:pPr>
        <w:pStyle w:val="ListeParagraf"/>
        <w:numPr>
          <w:ilvl w:val="0"/>
          <w:numId w:val="5"/>
        </w:numPr>
        <w:contextualSpacing/>
        <w:jc w:val="both"/>
        <w:rPr>
          <w:rFonts w:ascii="Times New Roman" w:hAnsi="Times New Roman"/>
          <w:b/>
          <w:sz w:val="24"/>
          <w:szCs w:val="24"/>
        </w:rPr>
      </w:pPr>
      <w:r w:rsidRPr="00950357">
        <w:rPr>
          <w:rFonts w:ascii="Times New Roman" w:hAnsi="Times New Roman"/>
          <w:sz w:val="24"/>
          <w:szCs w:val="24"/>
        </w:rPr>
        <w:t>PR-006 Taşınır Kayıt Prosedürü</w:t>
      </w:r>
      <w:bookmarkStart w:id="0" w:name="_GoBack"/>
      <w:bookmarkEnd w:id="0"/>
    </w:p>
    <w:p w:rsidR="00F83C10" w:rsidRPr="00950357" w:rsidRDefault="0099466B" w:rsidP="00950357">
      <w:pPr>
        <w:pStyle w:val="ListeParagraf"/>
        <w:numPr>
          <w:ilvl w:val="0"/>
          <w:numId w:val="5"/>
        </w:numPr>
        <w:contextualSpacing/>
        <w:jc w:val="both"/>
        <w:rPr>
          <w:rFonts w:ascii="Times New Roman" w:hAnsi="Times New Roman"/>
          <w:sz w:val="24"/>
          <w:szCs w:val="24"/>
        </w:rPr>
      </w:pPr>
      <w:r w:rsidRPr="00950357">
        <w:rPr>
          <w:rFonts w:ascii="Times New Roman" w:hAnsi="Times New Roman"/>
          <w:sz w:val="24"/>
          <w:szCs w:val="24"/>
        </w:rPr>
        <w:t>LST-003 Veri İmha Listesi</w:t>
      </w:r>
    </w:p>
    <w:p w:rsidR="00F83C10" w:rsidRPr="00950357" w:rsidRDefault="0099466B" w:rsidP="00950357">
      <w:pPr>
        <w:pStyle w:val="ListeParagraf"/>
        <w:numPr>
          <w:ilvl w:val="0"/>
          <w:numId w:val="5"/>
        </w:numPr>
        <w:contextualSpacing/>
        <w:jc w:val="both"/>
        <w:rPr>
          <w:rFonts w:ascii="Times New Roman" w:hAnsi="Times New Roman"/>
          <w:sz w:val="24"/>
          <w:szCs w:val="24"/>
        </w:rPr>
      </w:pPr>
      <w:r w:rsidRPr="00950357">
        <w:rPr>
          <w:rFonts w:ascii="Times New Roman" w:hAnsi="Times New Roman"/>
          <w:sz w:val="24"/>
          <w:szCs w:val="24"/>
        </w:rPr>
        <w:t>LST-004 İmha Edilen Kayıt Listesi</w:t>
      </w:r>
    </w:p>
    <w:p w:rsidR="00F83C10" w:rsidRPr="00950357" w:rsidRDefault="0099466B" w:rsidP="00950357">
      <w:pPr>
        <w:pStyle w:val="ListeParagraf"/>
        <w:numPr>
          <w:ilvl w:val="0"/>
          <w:numId w:val="5"/>
        </w:numPr>
        <w:contextualSpacing/>
        <w:jc w:val="both"/>
        <w:rPr>
          <w:rFonts w:ascii="Times New Roman" w:hAnsi="Times New Roman"/>
          <w:sz w:val="24"/>
          <w:szCs w:val="24"/>
        </w:rPr>
      </w:pPr>
      <w:r w:rsidRPr="00950357">
        <w:rPr>
          <w:rFonts w:ascii="Times New Roman" w:hAnsi="Times New Roman"/>
          <w:sz w:val="24"/>
          <w:szCs w:val="24"/>
        </w:rPr>
        <w:t>RPR-002 Medya İmha Raporu</w:t>
      </w:r>
    </w:p>
    <w:p w:rsidR="008169C4" w:rsidRDefault="008169C4" w:rsidP="00950357">
      <w:pPr>
        <w:pStyle w:val="ListeParagraf"/>
        <w:jc w:val="both"/>
        <w:rPr>
          <w:rFonts w:ascii="Times New Roman" w:hAnsi="Times New Roman"/>
          <w:b/>
          <w:sz w:val="24"/>
          <w:szCs w:val="24"/>
        </w:rPr>
      </w:pPr>
    </w:p>
    <w:p w:rsidR="008169C4" w:rsidRPr="00950357" w:rsidRDefault="008169C4" w:rsidP="00950357">
      <w:pPr>
        <w:pStyle w:val="ListeParagraf"/>
        <w:jc w:val="both"/>
        <w:rPr>
          <w:rFonts w:ascii="Times New Roman" w:hAnsi="Times New Roman"/>
          <w:b/>
          <w:sz w:val="24"/>
          <w:szCs w:val="24"/>
        </w:rPr>
      </w:pPr>
    </w:p>
    <w:p w:rsidR="00F83C10" w:rsidRPr="00950357" w:rsidRDefault="0099466B" w:rsidP="00950357">
      <w:pPr>
        <w:pStyle w:val="ListeParagraf"/>
        <w:numPr>
          <w:ilvl w:val="0"/>
          <w:numId w:val="1"/>
        </w:numPr>
        <w:contextualSpacing/>
        <w:jc w:val="both"/>
        <w:rPr>
          <w:rFonts w:ascii="Times New Roman" w:hAnsi="Times New Roman"/>
          <w:b/>
          <w:sz w:val="24"/>
          <w:szCs w:val="24"/>
        </w:rPr>
      </w:pPr>
      <w:r w:rsidRPr="00950357">
        <w:rPr>
          <w:rFonts w:ascii="Times New Roman" w:hAnsi="Times New Roman"/>
          <w:b/>
          <w:sz w:val="24"/>
          <w:szCs w:val="24"/>
        </w:rPr>
        <w:t>REVİZYON TAKİP TABLOSU</w:t>
      </w:r>
    </w:p>
    <w:p w:rsidR="00F83C10" w:rsidRPr="00950357" w:rsidRDefault="00246150" w:rsidP="00950357">
      <w:pPr>
        <w:pStyle w:val="ListeParagraf"/>
        <w:ind w:left="360" w:hanging="360"/>
        <w:contextualSpacing/>
        <w:jc w:val="both"/>
        <w:rPr>
          <w:rFonts w:ascii="Times New Roman" w:hAnsi="Times New Roman"/>
          <w:b/>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728"/>
      </w:tblGrid>
      <w:tr w:rsidR="00F83C10" w:rsidRPr="00950357" w:rsidTr="00025C20">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rPr>
                <w:b/>
              </w:rPr>
            </w:pPr>
            <w:r w:rsidRPr="00950357">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rPr>
                <w:b/>
              </w:rPr>
            </w:pPr>
            <w:r w:rsidRPr="00950357">
              <w:rPr>
                <w:b/>
              </w:rPr>
              <w:t>TARİH</w:t>
            </w:r>
          </w:p>
        </w:tc>
        <w:tc>
          <w:tcPr>
            <w:tcW w:w="5728"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rPr>
                <w:b/>
              </w:rPr>
            </w:pPr>
            <w:r w:rsidRPr="00950357">
              <w:rPr>
                <w:b/>
              </w:rPr>
              <w:t>AÇIKLAMA</w:t>
            </w:r>
          </w:p>
        </w:tc>
      </w:tr>
      <w:tr w:rsidR="00F83C10" w:rsidRPr="00950357" w:rsidTr="00025C20">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pPr>
            <w:r w:rsidRPr="00950357">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pPr>
            <w:r w:rsidRPr="00950357">
              <w:t>23.08.2023</w:t>
            </w:r>
          </w:p>
        </w:tc>
        <w:tc>
          <w:tcPr>
            <w:tcW w:w="5728" w:type="dxa"/>
            <w:tcBorders>
              <w:top w:val="single" w:sz="4" w:space="0" w:color="auto"/>
              <w:left w:val="single" w:sz="4" w:space="0" w:color="auto"/>
              <w:bottom w:val="single" w:sz="4" w:space="0" w:color="auto"/>
              <w:right w:val="single" w:sz="4" w:space="0" w:color="auto"/>
            </w:tcBorders>
            <w:vAlign w:val="center"/>
            <w:hideMark/>
          </w:tcPr>
          <w:p w:rsidR="00F83C10" w:rsidRPr="00950357" w:rsidRDefault="0099466B" w:rsidP="00950357">
            <w:pPr>
              <w:spacing w:after="160" w:line="259" w:lineRule="auto"/>
            </w:pPr>
            <w:r w:rsidRPr="00950357">
              <w:t>İlk yayın.</w:t>
            </w:r>
          </w:p>
        </w:tc>
      </w:tr>
      <w:tr w:rsidR="00D54E33" w:rsidRPr="00950357" w:rsidTr="00025C20">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D54E33" w:rsidRPr="00950357" w:rsidRDefault="00D54E33" w:rsidP="00950357">
            <w:pPr>
              <w:spacing w:after="160" w:line="259" w:lineRule="auto"/>
            </w:pPr>
            <w:r>
              <w:t>001</w:t>
            </w:r>
          </w:p>
        </w:tc>
        <w:tc>
          <w:tcPr>
            <w:tcW w:w="1842" w:type="dxa"/>
            <w:tcBorders>
              <w:top w:val="single" w:sz="4" w:space="0" w:color="auto"/>
              <w:left w:val="single" w:sz="4" w:space="0" w:color="auto"/>
              <w:bottom w:val="single" w:sz="4" w:space="0" w:color="auto"/>
              <w:right w:val="single" w:sz="4" w:space="0" w:color="auto"/>
            </w:tcBorders>
            <w:vAlign w:val="center"/>
          </w:tcPr>
          <w:p w:rsidR="00D54E33" w:rsidRPr="00950357" w:rsidRDefault="00D54E33" w:rsidP="00950357">
            <w:pPr>
              <w:spacing w:after="160" w:line="259" w:lineRule="auto"/>
            </w:pPr>
            <w:r>
              <w:t>10.02.2025</w:t>
            </w:r>
          </w:p>
        </w:tc>
        <w:tc>
          <w:tcPr>
            <w:tcW w:w="5728" w:type="dxa"/>
            <w:tcBorders>
              <w:top w:val="single" w:sz="4" w:space="0" w:color="auto"/>
              <w:left w:val="single" w:sz="4" w:space="0" w:color="auto"/>
              <w:bottom w:val="single" w:sz="4" w:space="0" w:color="auto"/>
              <w:right w:val="single" w:sz="4" w:space="0" w:color="auto"/>
            </w:tcBorders>
            <w:vAlign w:val="center"/>
          </w:tcPr>
          <w:p w:rsidR="00D54E33" w:rsidRPr="00950357" w:rsidRDefault="00D54E33" w:rsidP="00950357">
            <w:pPr>
              <w:spacing w:after="160" w:line="259" w:lineRule="auto"/>
            </w:pPr>
            <w:r>
              <w:t>Kişisel veri imha yöntemi eklenerek imha yöntemleri uygulamaları genişletilmiştir.</w:t>
            </w:r>
          </w:p>
        </w:tc>
      </w:tr>
    </w:tbl>
    <w:p w:rsidR="007E3F78" w:rsidRPr="00950357" w:rsidRDefault="007E3F78" w:rsidP="00950357"/>
    <w:sectPr w:rsidR="007E3F78" w:rsidRPr="00950357" w:rsidSect="00D54E33">
      <w:headerReference w:type="default" r:id="rId7"/>
      <w:footerReference w:type="default" r:id="rId8"/>
      <w:pgSz w:w="11906" w:h="16838"/>
      <w:pgMar w:top="1417" w:right="1417" w:bottom="1417" w:left="141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50" w:rsidRDefault="00246150" w:rsidP="002773EF">
      <w:r>
        <w:separator/>
      </w:r>
    </w:p>
  </w:endnote>
  <w:endnote w:type="continuationSeparator" w:id="0">
    <w:p w:rsidR="00246150" w:rsidRDefault="00246150"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612" w:type="pct"/>
      <w:jc w:val="center"/>
      <w:tblLook w:val="04A0" w:firstRow="1" w:lastRow="0" w:firstColumn="1" w:lastColumn="0" w:noHBand="0" w:noVBand="1"/>
    </w:tblPr>
    <w:tblGrid>
      <w:gridCol w:w="3438"/>
      <w:gridCol w:w="3442"/>
      <w:gridCol w:w="3291"/>
    </w:tblGrid>
    <w:tr w:rsidR="002773EF" w:rsidTr="006678E1">
      <w:trPr>
        <w:trHeight w:val="207"/>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6678E1">
      <w:trPr>
        <w:trHeight w:val="530"/>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2773EF"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50" w:rsidRDefault="00246150" w:rsidP="002773EF">
      <w:r>
        <w:separator/>
      </w:r>
    </w:p>
  </w:footnote>
  <w:footnote w:type="continuationSeparator" w:id="0">
    <w:p w:rsidR="00246150" w:rsidRDefault="00246150"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207" w:type="dxa"/>
      <w:jc w:val="center"/>
      <w:tblLook w:val="04A0" w:firstRow="1" w:lastRow="0" w:firstColumn="1" w:lastColumn="0" w:noHBand="0" w:noVBand="1"/>
    </w:tblPr>
    <w:tblGrid>
      <w:gridCol w:w="1271"/>
      <w:gridCol w:w="5528"/>
      <w:gridCol w:w="1985"/>
      <w:gridCol w:w="1423"/>
    </w:tblGrid>
    <w:tr w:rsidR="002773EF" w:rsidTr="006678E1">
      <w:trPr>
        <w:trHeight w:val="369"/>
        <w:jc w:val="center"/>
      </w:trPr>
      <w:tc>
        <w:tcPr>
          <w:tcW w:w="1271"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5528"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İmha Prosedürü</w:t>
          </w:r>
        </w:p>
      </w:tc>
      <w:tc>
        <w:tcPr>
          <w:tcW w:w="1985" w:type="dxa"/>
          <w:vAlign w:val="center"/>
        </w:tcPr>
        <w:p w:rsidR="002773EF" w:rsidRPr="004272E5" w:rsidRDefault="002773EF" w:rsidP="002773EF">
          <w:pPr>
            <w:pStyle w:val="stBilgi"/>
            <w:jc w:val="center"/>
            <w:rPr>
              <w:sz w:val="22"/>
            </w:rPr>
          </w:pPr>
          <w:r>
            <w:rPr>
              <w:sz w:val="22"/>
            </w:rPr>
            <w:t>Doküman No</w:t>
          </w:r>
        </w:p>
      </w:tc>
      <w:tc>
        <w:tcPr>
          <w:tcW w:w="1423" w:type="dxa"/>
          <w:vAlign w:val="center"/>
        </w:tcPr>
        <w:p w:rsidR="002773EF" w:rsidRPr="004272E5" w:rsidRDefault="002773EF" w:rsidP="002773EF">
          <w:pPr>
            <w:pStyle w:val="stBilgi"/>
            <w:jc w:val="center"/>
            <w:rPr>
              <w:sz w:val="22"/>
            </w:rPr>
          </w:pPr>
          <w:r>
            <w:rPr>
              <w:sz w:val="22"/>
            </w:rPr>
            <w:t>PR-031</w:t>
          </w:r>
        </w:p>
      </w:tc>
    </w:tr>
    <w:tr w:rsidR="002773EF" w:rsidTr="006678E1">
      <w:trPr>
        <w:trHeight w:val="290"/>
        <w:jc w:val="center"/>
      </w:trPr>
      <w:tc>
        <w:tcPr>
          <w:tcW w:w="1271" w:type="dxa"/>
          <w:vMerge/>
          <w:vAlign w:val="center"/>
        </w:tcPr>
        <w:p w:rsidR="002773EF" w:rsidRDefault="002773EF" w:rsidP="002773EF">
          <w:pPr>
            <w:pStyle w:val="stBilgi"/>
            <w:jc w:val="center"/>
          </w:pPr>
        </w:p>
      </w:tc>
      <w:tc>
        <w:tcPr>
          <w:tcW w:w="5528" w:type="dxa"/>
          <w:vMerge/>
          <w:vAlign w:val="center"/>
        </w:tcPr>
        <w:p w:rsidR="002773EF" w:rsidRPr="004272E5" w:rsidRDefault="002773EF" w:rsidP="002773EF">
          <w:pPr>
            <w:pStyle w:val="stBilgi"/>
            <w:jc w:val="center"/>
            <w:rPr>
              <w:sz w:val="22"/>
            </w:rPr>
          </w:pPr>
        </w:p>
      </w:tc>
      <w:tc>
        <w:tcPr>
          <w:tcW w:w="1985" w:type="dxa"/>
          <w:vAlign w:val="center"/>
        </w:tcPr>
        <w:p w:rsidR="002773EF" w:rsidRPr="004272E5" w:rsidRDefault="002773EF" w:rsidP="002773EF">
          <w:pPr>
            <w:pStyle w:val="stBilgi"/>
            <w:jc w:val="center"/>
            <w:rPr>
              <w:sz w:val="22"/>
            </w:rPr>
          </w:pPr>
          <w:r>
            <w:rPr>
              <w:sz w:val="22"/>
            </w:rPr>
            <w:t>İlk Yayın Tarihi</w:t>
          </w:r>
        </w:p>
      </w:tc>
      <w:tc>
        <w:tcPr>
          <w:tcW w:w="1423" w:type="dxa"/>
          <w:vAlign w:val="center"/>
        </w:tcPr>
        <w:p w:rsidR="002773EF" w:rsidRPr="004272E5" w:rsidRDefault="002773EF" w:rsidP="002773EF">
          <w:pPr>
            <w:pStyle w:val="stBilgi"/>
            <w:jc w:val="center"/>
            <w:rPr>
              <w:sz w:val="22"/>
            </w:rPr>
          </w:pPr>
          <w:r>
            <w:rPr>
              <w:sz w:val="22"/>
            </w:rPr>
            <w:t>23.8.2023</w:t>
          </w:r>
        </w:p>
      </w:tc>
    </w:tr>
    <w:tr w:rsidR="002773EF" w:rsidTr="006678E1">
      <w:trPr>
        <w:trHeight w:val="255"/>
        <w:jc w:val="center"/>
      </w:trPr>
      <w:tc>
        <w:tcPr>
          <w:tcW w:w="1271" w:type="dxa"/>
          <w:vMerge/>
          <w:vAlign w:val="center"/>
        </w:tcPr>
        <w:p w:rsidR="002773EF" w:rsidRDefault="002773EF" w:rsidP="002773EF">
          <w:pPr>
            <w:pStyle w:val="stBilgi"/>
            <w:jc w:val="center"/>
          </w:pPr>
        </w:p>
      </w:tc>
      <w:tc>
        <w:tcPr>
          <w:tcW w:w="5528" w:type="dxa"/>
          <w:vMerge/>
          <w:vAlign w:val="center"/>
        </w:tcPr>
        <w:p w:rsidR="002773EF" w:rsidRPr="004272E5" w:rsidRDefault="002773EF" w:rsidP="002773EF">
          <w:pPr>
            <w:pStyle w:val="stBilgi"/>
            <w:jc w:val="center"/>
            <w:rPr>
              <w:sz w:val="22"/>
            </w:rPr>
          </w:pPr>
        </w:p>
      </w:tc>
      <w:tc>
        <w:tcPr>
          <w:tcW w:w="1985" w:type="dxa"/>
          <w:vAlign w:val="center"/>
        </w:tcPr>
        <w:p w:rsidR="002773EF" w:rsidRPr="004272E5" w:rsidRDefault="002773EF" w:rsidP="002773EF">
          <w:pPr>
            <w:pStyle w:val="stBilgi"/>
            <w:jc w:val="center"/>
            <w:rPr>
              <w:sz w:val="22"/>
            </w:rPr>
          </w:pPr>
          <w:r>
            <w:rPr>
              <w:sz w:val="22"/>
            </w:rPr>
            <w:t>Revizyon Tarihi</w:t>
          </w:r>
        </w:p>
      </w:tc>
      <w:tc>
        <w:tcPr>
          <w:tcW w:w="1423" w:type="dxa"/>
          <w:vAlign w:val="center"/>
        </w:tcPr>
        <w:p w:rsidR="002773EF" w:rsidRPr="004272E5" w:rsidRDefault="00FD71B4" w:rsidP="002773EF">
          <w:pPr>
            <w:pStyle w:val="stBilgi"/>
            <w:jc w:val="center"/>
            <w:rPr>
              <w:sz w:val="22"/>
            </w:rPr>
          </w:pPr>
          <w:r>
            <w:rPr>
              <w:sz w:val="22"/>
            </w:rPr>
            <w:t>10.2.2025</w:t>
          </w:r>
        </w:p>
      </w:tc>
    </w:tr>
    <w:tr w:rsidR="002773EF" w:rsidTr="006678E1">
      <w:trPr>
        <w:trHeight w:val="360"/>
        <w:jc w:val="center"/>
      </w:trPr>
      <w:tc>
        <w:tcPr>
          <w:tcW w:w="1271" w:type="dxa"/>
          <w:vMerge/>
          <w:vAlign w:val="center"/>
        </w:tcPr>
        <w:p w:rsidR="002773EF" w:rsidRDefault="002773EF" w:rsidP="002773EF">
          <w:pPr>
            <w:pStyle w:val="stBilgi"/>
            <w:jc w:val="center"/>
          </w:pPr>
        </w:p>
      </w:tc>
      <w:tc>
        <w:tcPr>
          <w:tcW w:w="5528" w:type="dxa"/>
          <w:vMerge/>
          <w:vAlign w:val="center"/>
        </w:tcPr>
        <w:p w:rsidR="002773EF" w:rsidRPr="004272E5" w:rsidRDefault="002773EF" w:rsidP="002773EF">
          <w:pPr>
            <w:pStyle w:val="stBilgi"/>
            <w:jc w:val="center"/>
            <w:rPr>
              <w:sz w:val="22"/>
            </w:rPr>
          </w:pPr>
        </w:p>
      </w:tc>
      <w:tc>
        <w:tcPr>
          <w:tcW w:w="1985" w:type="dxa"/>
          <w:vAlign w:val="center"/>
        </w:tcPr>
        <w:p w:rsidR="002773EF" w:rsidRDefault="002773EF" w:rsidP="002773EF">
          <w:pPr>
            <w:pStyle w:val="stBilgi"/>
            <w:jc w:val="center"/>
            <w:rPr>
              <w:sz w:val="22"/>
            </w:rPr>
          </w:pPr>
          <w:r>
            <w:rPr>
              <w:sz w:val="22"/>
            </w:rPr>
            <w:t>Revizyon No</w:t>
          </w:r>
        </w:p>
      </w:tc>
      <w:tc>
        <w:tcPr>
          <w:tcW w:w="1423" w:type="dxa"/>
          <w:vAlign w:val="center"/>
        </w:tcPr>
        <w:p w:rsidR="002773EF" w:rsidRDefault="00FD71B4" w:rsidP="002773EF">
          <w:pPr>
            <w:pStyle w:val="stBilgi"/>
            <w:jc w:val="center"/>
            <w:rPr>
              <w:sz w:val="22"/>
            </w:rPr>
          </w:pPr>
          <w:r>
            <w:rPr>
              <w:sz w:val="22"/>
            </w:rPr>
            <w:t>001</w:t>
          </w:r>
        </w:p>
      </w:tc>
    </w:tr>
    <w:tr w:rsidR="006678E1" w:rsidTr="006678E1">
      <w:trPr>
        <w:trHeight w:val="227"/>
        <w:jc w:val="center"/>
      </w:trPr>
      <w:tc>
        <w:tcPr>
          <w:tcW w:w="1271" w:type="dxa"/>
          <w:vMerge/>
          <w:vAlign w:val="center"/>
        </w:tcPr>
        <w:p w:rsidR="006678E1" w:rsidRDefault="006678E1" w:rsidP="006678E1">
          <w:pPr>
            <w:pStyle w:val="stBilgi"/>
            <w:jc w:val="center"/>
          </w:pPr>
        </w:p>
      </w:tc>
      <w:tc>
        <w:tcPr>
          <w:tcW w:w="5528" w:type="dxa"/>
          <w:vMerge/>
          <w:vAlign w:val="center"/>
        </w:tcPr>
        <w:p w:rsidR="006678E1" w:rsidRPr="004272E5" w:rsidRDefault="006678E1" w:rsidP="006678E1">
          <w:pPr>
            <w:pStyle w:val="stBilgi"/>
            <w:jc w:val="center"/>
            <w:rPr>
              <w:sz w:val="22"/>
            </w:rPr>
          </w:pPr>
        </w:p>
      </w:tc>
      <w:tc>
        <w:tcPr>
          <w:tcW w:w="1985" w:type="dxa"/>
          <w:vAlign w:val="center"/>
        </w:tcPr>
        <w:p w:rsidR="006678E1" w:rsidRPr="004272E5" w:rsidRDefault="006678E1" w:rsidP="006678E1">
          <w:pPr>
            <w:pStyle w:val="stBilgi"/>
            <w:jc w:val="center"/>
            <w:rPr>
              <w:sz w:val="22"/>
            </w:rPr>
          </w:pPr>
          <w:r>
            <w:rPr>
              <w:sz w:val="22"/>
            </w:rPr>
            <w:t>Sayfa No</w:t>
          </w:r>
        </w:p>
      </w:tc>
      <w:tc>
        <w:tcPr>
          <w:tcW w:w="1423" w:type="dxa"/>
          <w:vAlign w:val="center"/>
        </w:tcPr>
        <w:p w:rsidR="006678E1" w:rsidRPr="004272E5" w:rsidRDefault="006678E1" w:rsidP="006678E1">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FD71B4">
            <w:rPr>
              <w:noProof/>
              <w:color w:val="000000"/>
              <w:sz w:val="18"/>
              <w:szCs w:val="18"/>
            </w:rPr>
            <w:t>6</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FD71B4">
            <w:rPr>
              <w:noProof/>
              <w:color w:val="000000"/>
              <w:sz w:val="18"/>
              <w:szCs w:val="18"/>
            </w:rPr>
            <w:t>7</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AAC5CCA"/>
    <w:lvl w:ilvl="0">
      <w:start w:val="1"/>
      <w:numFmt w:val="decimal"/>
      <w:lvlText w:val="%1."/>
      <w:lvlJc w:val="left"/>
      <w:pPr>
        <w:ind w:left="360" w:hanging="360"/>
      </w:pPr>
      <w:rPr>
        <w:rFonts w:ascii="Times New Roman" w:hAnsi="Times New Roman"/>
      </w:rPr>
    </w:lvl>
    <w:lvl w:ilvl="1">
      <w:start w:val="1"/>
      <w:numFmt w:val="decimal"/>
      <w:lvlText w:val="%1.%2."/>
      <w:lvlJc w:val="left"/>
      <w:pPr>
        <w:ind w:left="792" w:hanging="432"/>
      </w:pPr>
      <w:rPr>
        <w:rFonts w:ascii="Times New Roman" w:hAnsi="Times New Roman"/>
        <w:b/>
      </w:rPr>
    </w:lvl>
    <w:lvl w:ilvl="2">
      <w:start w:val="1"/>
      <w:numFmt w:val="decimal"/>
      <w:lvlText w:val="%1.%2.%3."/>
      <w:lvlJc w:val="left"/>
      <w:pPr>
        <w:ind w:left="1224" w:hanging="504"/>
      </w:pPr>
      <w:rPr>
        <w:rFonts w:ascii="Times New Roman" w:hAnsi="Times New Roman"/>
        <w:b/>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2"/>
    <w:multiLevelType w:val="hybridMultilevel"/>
    <w:tmpl w:val="77849752"/>
    <w:lvl w:ilvl="0" w:tplc="041F0017">
      <w:start w:val="1"/>
      <w:numFmt w:val="lowerLetter"/>
      <w:lvlText w:val="%1)"/>
      <w:lvlJc w:val="left"/>
      <w:pPr>
        <w:ind w:left="720" w:hanging="360"/>
      </w:pPr>
      <w:rPr>
        <w:rFonts w:ascii="Times New Roman" w:hAnsi="Times New Roman"/>
      </w:rPr>
    </w:lvl>
    <w:lvl w:ilvl="1" w:tplc="041F0019">
      <w:start w:val="1"/>
      <w:numFmt w:val="lowerLetter"/>
      <w:lvlText w:val="%2."/>
      <w:lvlJc w:val="left"/>
      <w:pPr>
        <w:ind w:left="1440" w:hanging="360"/>
      </w:pPr>
      <w:rPr>
        <w:rFonts w:ascii="Times New Roman" w:hAnsi="Times New Roman"/>
      </w:rPr>
    </w:lvl>
    <w:lvl w:ilvl="2" w:tplc="041F001B">
      <w:start w:val="1"/>
      <w:numFmt w:val="lowerRoman"/>
      <w:lvlText w:val="%3."/>
      <w:lvlJc w:val="right"/>
      <w:pPr>
        <w:ind w:left="2160" w:hanging="180"/>
      </w:pPr>
      <w:rPr>
        <w:rFonts w:ascii="Times New Roman" w:hAnsi="Times New Roman"/>
      </w:rPr>
    </w:lvl>
    <w:lvl w:ilvl="3" w:tplc="041F000F">
      <w:start w:val="1"/>
      <w:numFmt w:val="decimal"/>
      <w:lvlText w:val="%4."/>
      <w:lvlJc w:val="left"/>
      <w:pPr>
        <w:ind w:left="2880" w:hanging="360"/>
      </w:pPr>
      <w:rPr>
        <w:rFonts w:ascii="Times New Roman" w:hAnsi="Times New Roman"/>
      </w:rPr>
    </w:lvl>
    <w:lvl w:ilvl="4" w:tplc="041F0019">
      <w:start w:val="1"/>
      <w:numFmt w:val="lowerLetter"/>
      <w:lvlText w:val="%5."/>
      <w:lvlJc w:val="left"/>
      <w:pPr>
        <w:ind w:left="3600" w:hanging="360"/>
      </w:pPr>
      <w:rPr>
        <w:rFonts w:ascii="Times New Roman" w:hAnsi="Times New Roman"/>
      </w:rPr>
    </w:lvl>
    <w:lvl w:ilvl="5" w:tplc="041F001B">
      <w:start w:val="1"/>
      <w:numFmt w:val="lowerRoman"/>
      <w:lvlText w:val="%6."/>
      <w:lvlJc w:val="right"/>
      <w:pPr>
        <w:ind w:left="4320" w:hanging="180"/>
      </w:pPr>
      <w:rPr>
        <w:rFonts w:ascii="Times New Roman" w:hAnsi="Times New Roman"/>
      </w:rPr>
    </w:lvl>
    <w:lvl w:ilvl="6" w:tplc="041F000F">
      <w:start w:val="1"/>
      <w:numFmt w:val="decimal"/>
      <w:lvlText w:val="%7."/>
      <w:lvlJc w:val="left"/>
      <w:pPr>
        <w:ind w:left="5040" w:hanging="360"/>
      </w:pPr>
      <w:rPr>
        <w:rFonts w:ascii="Times New Roman" w:hAnsi="Times New Roman"/>
      </w:rPr>
    </w:lvl>
    <w:lvl w:ilvl="7" w:tplc="041F0019">
      <w:start w:val="1"/>
      <w:numFmt w:val="lowerLetter"/>
      <w:lvlText w:val="%8."/>
      <w:lvlJc w:val="left"/>
      <w:pPr>
        <w:ind w:left="5760" w:hanging="360"/>
      </w:pPr>
      <w:rPr>
        <w:rFonts w:ascii="Times New Roman" w:hAnsi="Times New Roman"/>
      </w:rPr>
    </w:lvl>
    <w:lvl w:ilvl="8" w:tplc="041F001B">
      <w:start w:val="1"/>
      <w:numFmt w:val="lowerRoman"/>
      <w:lvlText w:val="%9."/>
      <w:lvlJc w:val="right"/>
      <w:pPr>
        <w:ind w:left="6480" w:hanging="180"/>
      </w:pPr>
      <w:rPr>
        <w:rFonts w:ascii="Times New Roman" w:hAnsi="Times New Roman"/>
      </w:rPr>
    </w:lvl>
  </w:abstractNum>
  <w:abstractNum w:abstractNumId="2" w15:restartNumberingAfterBreak="0">
    <w:nsid w:val="00000003"/>
    <w:multiLevelType w:val="hybridMultilevel"/>
    <w:tmpl w:val="05169F14"/>
    <w:lvl w:ilvl="0" w:tplc="041F0017">
      <w:start w:val="1"/>
      <w:numFmt w:val="lowerLetter"/>
      <w:lvlText w:val="%1)"/>
      <w:lvlJc w:val="left"/>
      <w:pPr>
        <w:ind w:left="720" w:hanging="360"/>
      </w:pPr>
      <w:rPr>
        <w:rFonts w:ascii="Times New Roman" w:hAnsi="Times New Roman"/>
      </w:rPr>
    </w:lvl>
    <w:lvl w:ilvl="1" w:tplc="041F0019">
      <w:start w:val="1"/>
      <w:numFmt w:val="lowerLetter"/>
      <w:lvlText w:val="%2."/>
      <w:lvlJc w:val="left"/>
      <w:pPr>
        <w:ind w:left="1440" w:hanging="360"/>
      </w:pPr>
      <w:rPr>
        <w:rFonts w:ascii="Times New Roman" w:hAnsi="Times New Roman"/>
      </w:rPr>
    </w:lvl>
    <w:lvl w:ilvl="2" w:tplc="041F001B">
      <w:start w:val="1"/>
      <w:numFmt w:val="lowerRoman"/>
      <w:lvlText w:val="%3."/>
      <w:lvlJc w:val="right"/>
      <w:pPr>
        <w:ind w:left="2160" w:hanging="180"/>
      </w:pPr>
      <w:rPr>
        <w:rFonts w:ascii="Times New Roman" w:hAnsi="Times New Roman"/>
      </w:rPr>
    </w:lvl>
    <w:lvl w:ilvl="3" w:tplc="041F000F">
      <w:start w:val="1"/>
      <w:numFmt w:val="decimal"/>
      <w:lvlText w:val="%4."/>
      <w:lvlJc w:val="left"/>
      <w:pPr>
        <w:ind w:left="2880" w:hanging="360"/>
      </w:pPr>
      <w:rPr>
        <w:rFonts w:ascii="Times New Roman" w:hAnsi="Times New Roman"/>
      </w:rPr>
    </w:lvl>
    <w:lvl w:ilvl="4" w:tplc="041F0019">
      <w:start w:val="1"/>
      <w:numFmt w:val="lowerLetter"/>
      <w:lvlText w:val="%5."/>
      <w:lvlJc w:val="left"/>
      <w:pPr>
        <w:ind w:left="3600" w:hanging="360"/>
      </w:pPr>
      <w:rPr>
        <w:rFonts w:ascii="Times New Roman" w:hAnsi="Times New Roman"/>
      </w:rPr>
    </w:lvl>
    <w:lvl w:ilvl="5" w:tplc="041F001B">
      <w:start w:val="1"/>
      <w:numFmt w:val="lowerRoman"/>
      <w:lvlText w:val="%6."/>
      <w:lvlJc w:val="right"/>
      <w:pPr>
        <w:ind w:left="4320" w:hanging="180"/>
      </w:pPr>
      <w:rPr>
        <w:rFonts w:ascii="Times New Roman" w:hAnsi="Times New Roman"/>
      </w:rPr>
    </w:lvl>
    <w:lvl w:ilvl="6" w:tplc="041F000F">
      <w:start w:val="1"/>
      <w:numFmt w:val="decimal"/>
      <w:lvlText w:val="%7."/>
      <w:lvlJc w:val="left"/>
      <w:pPr>
        <w:ind w:left="5040" w:hanging="360"/>
      </w:pPr>
      <w:rPr>
        <w:rFonts w:ascii="Times New Roman" w:hAnsi="Times New Roman"/>
      </w:rPr>
    </w:lvl>
    <w:lvl w:ilvl="7" w:tplc="041F0019">
      <w:start w:val="1"/>
      <w:numFmt w:val="lowerLetter"/>
      <w:lvlText w:val="%8."/>
      <w:lvlJc w:val="left"/>
      <w:pPr>
        <w:ind w:left="5760" w:hanging="360"/>
      </w:pPr>
      <w:rPr>
        <w:rFonts w:ascii="Times New Roman" w:hAnsi="Times New Roman"/>
      </w:rPr>
    </w:lvl>
    <w:lvl w:ilvl="8" w:tplc="041F001B">
      <w:start w:val="1"/>
      <w:numFmt w:val="lowerRoman"/>
      <w:lvlText w:val="%9."/>
      <w:lvlJc w:val="right"/>
      <w:pPr>
        <w:ind w:left="6480" w:hanging="180"/>
      </w:pPr>
      <w:rPr>
        <w:rFonts w:ascii="Times New Roman" w:hAnsi="Times New Roman"/>
      </w:rPr>
    </w:lvl>
  </w:abstractNum>
  <w:abstractNum w:abstractNumId="3" w15:restartNumberingAfterBreak="0">
    <w:nsid w:val="00000004"/>
    <w:multiLevelType w:val="hybridMultilevel"/>
    <w:tmpl w:val="0A92DBF8"/>
    <w:lvl w:ilvl="0" w:tplc="041F0001">
      <w:start w:val="1"/>
      <w:numFmt w:val="bullet"/>
      <w:lvlText w:val=""/>
      <w:lvlJc w:val="left"/>
      <w:pPr>
        <w:ind w:left="1080" w:hanging="360"/>
      </w:pPr>
      <w:rPr>
        <w:rFonts w:ascii="Symbol" w:hAnsi="Symbol"/>
      </w:rPr>
    </w:lvl>
    <w:lvl w:ilvl="1" w:tplc="041F0003">
      <w:start w:val="1"/>
      <w:numFmt w:val="bullet"/>
      <w:lvlText w:val="o"/>
      <w:lvlJc w:val="left"/>
      <w:pPr>
        <w:ind w:left="1800" w:hanging="360"/>
      </w:pPr>
      <w:rPr>
        <w:rFonts w:ascii="Courier New" w:hAnsi="Courier New"/>
      </w:rPr>
    </w:lvl>
    <w:lvl w:ilvl="2" w:tplc="041F0005">
      <w:start w:val="1"/>
      <w:numFmt w:val="bullet"/>
      <w:lvlText w:val=""/>
      <w:lvlJc w:val="left"/>
      <w:pPr>
        <w:ind w:left="2520" w:hanging="360"/>
      </w:pPr>
      <w:rPr>
        <w:rFonts w:ascii="Wingdings" w:hAnsi="Wingdings"/>
      </w:rPr>
    </w:lvl>
    <w:lvl w:ilvl="3" w:tplc="041F0001">
      <w:start w:val="1"/>
      <w:numFmt w:val="bullet"/>
      <w:lvlText w:val=""/>
      <w:lvlJc w:val="left"/>
      <w:pPr>
        <w:ind w:left="3240" w:hanging="360"/>
      </w:pPr>
      <w:rPr>
        <w:rFonts w:ascii="Symbol" w:hAnsi="Symbol"/>
      </w:rPr>
    </w:lvl>
    <w:lvl w:ilvl="4" w:tplc="041F0003">
      <w:start w:val="1"/>
      <w:numFmt w:val="bullet"/>
      <w:lvlText w:val="o"/>
      <w:lvlJc w:val="left"/>
      <w:pPr>
        <w:ind w:left="3960" w:hanging="360"/>
      </w:pPr>
      <w:rPr>
        <w:rFonts w:ascii="Courier New" w:hAnsi="Courier New"/>
      </w:rPr>
    </w:lvl>
    <w:lvl w:ilvl="5" w:tplc="041F0005">
      <w:start w:val="1"/>
      <w:numFmt w:val="bullet"/>
      <w:lvlText w:val=""/>
      <w:lvlJc w:val="left"/>
      <w:pPr>
        <w:ind w:left="4680" w:hanging="360"/>
      </w:pPr>
      <w:rPr>
        <w:rFonts w:ascii="Wingdings" w:hAnsi="Wingdings"/>
      </w:rPr>
    </w:lvl>
    <w:lvl w:ilvl="6" w:tplc="041F0001">
      <w:start w:val="1"/>
      <w:numFmt w:val="bullet"/>
      <w:lvlText w:val=""/>
      <w:lvlJc w:val="left"/>
      <w:pPr>
        <w:ind w:left="5400" w:hanging="360"/>
      </w:pPr>
      <w:rPr>
        <w:rFonts w:ascii="Symbol" w:hAnsi="Symbol"/>
      </w:rPr>
    </w:lvl>
    <w:lvl w:ilvl="7" w:tplc="041F0003">
      <w:start w:val="1"/>
      <w:numFmt w:val="bullet"/>
      <w:lvlText w:val="o"/>
      <w:lvlJc w:val="left"/>
      <w:pPr>
        <w:ind w:left="6120" w:hanging="360"/>
      </w:pPr>
      <w:rPr>
        <w:rFonts w:ascii="Courier New" w:hAnsi="Courier New"/>
      </w:rPr>
    </w:lvl>
    <w:lvl w:ilvl="8" w:tplc="041F0005">
      <w:start w:val="1"/>
      <w:numFmt w:val="bullet"/>
      <w:lvlText w:val=""/>
      <w:lvlJc w:val="left"/>
      <w:pPr>
        <w:ind w:left="6840" w:hanging="360"/>
      </w:pPr>
      <w:rPr>
        <w:rFonts w:ascii="Wingdings" w:hAnsi="Wingdings"/>
      </w:rPr>
    </w:lvl>
  </w:abstractNum>
  <w:abstractNum w:abstractNumId="4" w15:restartNumberingAfterBreak="0">
    <w:nsid w:val="00000005"/>
    <w:multiLevelType w:val="hybridMultilevel"/>
    <w:tmpl w:val="1D78D3A0"/>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5" w15:restartNumberingAfterBreak="0">
    <w:nsid w:val="15DF35E6"/>
    <w:multiLevelType w:val="multilevel"/>
    <w:tmpl w:val="F108427E"/>
    <w:lvl w:ilvl="0">
      <w:start w:val="4"/>
      <w:numFmt w:val="decimal"/>
      <w:lvlText w:val="%1"/>
      <w:lvlJc w:val="left"/>
      <w:pPr>
        <w:ind w:left="744" w:hanging="744"/>
      </w:pPr>
      <w:rPr>
        <w:rFonts w:hint="default"/>
      </w:rPr>
    </w:lvl>
    <w:lvl w:ilvl="1">
      <w:start w:val="2"/>
      <w:numFmt w:val="decimal"/>
      <w:lvlText w:val="%1.%2"/>
      <w:lvlJc w:val="left"/>
      <w:pPr>
        <w:ind w:left="864" w:hanging="744"/>
      </w:pPr>
      <w:rPr>
        <w:rFonts w:hint="default"/>
      </w:rPr>
    </w:lvl>
    <w:lvl w:ilvl="2">
      <w:start w:val="1"/>
      <w:numFmt w:val="decimal"/>
      <w:lvlText w:val="%1.%2.%3"/>
      <w:lvlJc w:val="left"/>
      <w:pPr>
        <w:ind w:left="984" w:hanging="744"/>
      </w:pPr>
      <w:rPr>
        <w:rFonts w:hint="default"/>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54FD3BF6"/>
    <w:multiLevelType w:val="multilevel"/>
    <w:tmpl w:val="0616EB8C"/>
    <w:lvl w:ilvl="0">
      <w:start w:val="4"/>
      <w:numFmt w:val="decimal"/>
      <w:lvlText w:val="%1."/>
      <w:lvlJc w:val="left"/>
      <w:pPr>
        <w:ind w:left="816" w:hanging="816"/>
      </w:pPr>
      <w:rPr>
        <w:rFonts w:hint="default"/>
      </w:rPr>
    </w:lvl>
    <w:lvl w:ilvl="1">
      <w:start w:val="2"/>
      <w:numFmt w:val="decimal"/>
      <w:lvlText w:val="%1.%2."/>
      <w:lvlJc w:val="left"/>
      <w:pPr>
        <w:ind w:left="936" w:hanging="816"/>
      </w:pPr>
      <w:rPr>
        <w:rFonts w:hint="default"/>
      </w:rPr>
    </w:lvl>
    <w:lvl w:ilvl="2">
      <w:start w:val="1"/>
      <w:numFmt w:val="decimal"/>
      <w:lvlText w:val="%1.%2.%3."/>
      <w:lvlJc w:val="left"/>
      <w:pPr>
        <w:ind w:left="1056" w:hanging="816"/>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585F735B"/>
    <w:multiLevelType w:val="multilevel"/>
    <w:tmpl w:val="80BC1464"/>
    <w:lvl w:ilvl="0">
      <w:start w:val="4"/>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637673E6"/>
    <w:multiLevelType w:val="hybridMultilevel"/>
    <w:tmpl w:val="3996B71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20DA3"/>
    <w:rsid w:val="00025C20"/>
    <w:rsid w:val="000A49C9"/>
    <w:rsid w:val="000B73B3"/>
    <w:rsid w:val="001459B4"/>
    <w:rsid w:val="00165320"/>
    <w:rsid w:val="00183178"/>
    <w:rsid w:val="001F3E13"/>
    <w:rsid w:val="00246150"/>
    <w:rsid w:val="002773EF"/>
    <w:rsid w:val="0028076A"/>
    <w:rsid w:val="00374028"/>
    <w:rsid w:val="00415158"/>
    <w:rsid w:val="004249D9"/>
    <w:rsid w:val="00556DAB"/>
    <w:rsid w:val="005624A8"/>
    <w:rsid w:val="006678E1"/>
    <w:rsid w:val="006D09AB"/>
    <w:rsid w:val="0071309F"/>
    <w:rsid w:val="007A4C74"/>
    <w:rsid w:val="007E3F78"/>
    <w:rsid w:val="008169C4"/>
    <w:rsid w:val="008A02C2"/>
    <w:rsid w:val="008D73E8"/>
    <w:rsid w:val="00931BE5"/>
    <w:rsid w:val="00943670"/>
    <w:rsid w:val="00950357"/>
    <w:rsid w:val="00952AE3"/>
    <w:rsid w:val="0099466B"/>
    <w:rsid w:val="009E096A"/>
    <w:rsid w:val="00A50C3A"/>
    <w:rsid w:val="00A57A02"/>
    <w:rsid w:val="00BA3134"/>
    <w:rsid w:val="00BD29A6"/>
    <w:rsid w:val="00BD403F"/>
    <w:rsid w:val="00D54E33"/>
    <w:rsid w:val="00DA7905"/>
    <w:rsid w:val="00DF36DB"/>
    <w:rsid w:val="00DF7D17"/>
    <w:rsid w:val="00E00DCC"/>
    <w:rsid w:val="00E8160D"/>
    <w:rsid w:val="00EF05A0"/>
    <w:rsid w:val="00F22DAD"/>
    <w:rsid w:val="00F766B7"/>
    <w:rsid w:val="00FD7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14FF0"/>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 w:type="paragraph" w:styleId="NormalWeb">
    <w:name w:val="Normal (Web)"/>
    <w:basedOn w:val="Normal"/>
    <w:uiPriority w:val="99"/>
    <w:rsid w:val="008D73E8"/>
    <w:pPr>
      <w:spacing w:before="100" w:beforeAutospacing="1" w:after="100" w:afterAutospacing="1"/>
      <w:jc w:val="left"/>
    </w:pPr>
  </w:style>
  <w:style w:type="paragraph" w:styleId="BalonMetni">
    <w:name w:val="Balloon Text"/>
    <w:basedOn w:val="Normal"/>
    <w:link w:val="BalonMetniChar"/>
    <w:uiPriority w:val="99"/>
    <w:semiHidden/>
    <w:unhideWhenUsed/>
    <w:rsid w:val="00BA313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313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2999">
      <w:bodyDiv w:val="1"/>
      <w:marLeft w:val="0"/>
      <w:marRight w:val="0"/>
      <w:marTop w:val="0"/>
      <w:marBottom w:val="0"/>
      <w:divBdr>
        <w:top w:val="none" w:sz="0" w:space="0" w:color="auto"/>
        <w:left w:val="none" w:sz="0" w:space="0" w:color="auto"/>
        <w:bottom w:val="none" w:sz="0" w:space="0" w:color="auto"/>
        <w:right w:val="none" w:sz="0" w:space="0" w:color="auto"/>
      </w:divBdr>
    </w:div>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1765</Words>
  <Characters>10066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29</cp:revision>
  <cp:lastPrinted>2025-03-11T10:32:00Z</cp:lastPrinted>
  <dcterms:created xsi:type="dcterms:W3CDTF">2021-02-15T20:27:00Z</dcterms:created>
  <dcterms:modified xsi:type="dcterms:W3CDTF">2025-03-24T07:53:00Z</dcterms:modified>
</cp:coreProperties>
</file>