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A65" w:rsidRDefault="00DE0A65" w:rsidP="00DE0A65">
      <w:pPr>
        <w:numPr>
          <w:ilvl w:val="0"/>
          <w:numId w:val="13"/>
        </w:numPr>
        <w:spacing w:after="160" w:line="276" w:lineRule="auto"/>
        <w:jc w:val="both"/>
        <w:rPr>
          <w:b/>
        </w:rPr>
      </w:pPr>
      <w:r>
        <w:rPr>
          <w:b/>
        </w:rPr>
        <w:t>AMAÇ</w:t>
      </w:r>
    </w:p>
    <w:p w:rsidR="00FC0F37" w:rsidRDefault="00FC0F37" w:rsidP="00FC0F37">
      <w:pPr>
        <w:pStyle w:val="GvdeMetni"/>
        <w:spacing w:before="221" w:line="276" w:lineRule="auto"/>
        <w:ind w:right="340" w:firstLine="360"/>
        <w:jc w:val="both"/>
        <w:rPr>
          <w:rFonts w:ascii="Times New Roman" w:hAnsi="Times New Roman" w:cs="Times New Roman"/>
        </w:rPr>
      </w:pPr>
      <w:r w:rsidRPr="003220E3">
        <w:rPr>
          <w:rFonts w:ascii="Times New Roman" w:hAnsi="Times New Roman" w:cs="Times New Roman"/>
        </w:rPr>
        <w:t xml:space="preserve">Bu </w:t>
      </w:r>
      <w:proofErr w:type="gramStart"/>
      <w:r w:rsidRPr="003220E3">
        <w:rPr>
          <w:rFonts w:ascii="Times New Roman" w:hAnsi="Times New Roman" w:cs="Times New Roman"/>
        </w:rPr>
        <w:t>prosedür</w:t>
      </w:r>
      <w:proofErr w:type="gramEnd"/>
      <w:r w:rsidRPr="003220E3">
        <w:rPr>
          <w:rFonts w:ascii="Times New Roman" w:hAnsi="Times New Roman" w:cs="Times New Roman"/>
        </w:rPr>
        <w:t xml:space="preserve">, </w:t>
      </w:r>
      <w:proofErr w:type="spellStart"/>
      <w:r w:rsidRPr="003220E3">
        <w:rPr>
          <w:rFonts w:ascii="Times New Roman" w:hAnsi="Times New Roman" w:cs="Times New Roman"/>
        </w:rPr>
        <w:t>SDÜ’nin</w:t>
      </w:r>
      <w:proofErr w:type="spellEnd"/>
      <w:r w:rsidRPr="003220E3">
        <w:rPr>
          <w:rFonts w:ascii="Times New Roman" w:hAnsi="Times New Roman" w:cs="Times New Roman"/>
        </w:rPr>
        <w:t xml:space="preserve"> Kişisel Veri Yönetim Sistemi’nin kurulması, uygulanması, sürdürülmesi</w:t>
      </w:r>
      <w:r w:rsidRPr="003220E3">
        <w:rPr>
          <w:rFonts w:ascii="Times New Roman" w:hAnsi="Times New Roman" w:cs="Times New Roman"/>
          <w:spacing w:val="-8"/>
        </w:rPr>
        <w:t xml:space="preserve"> </w:t>
      </w:r>
      <w:r w:rsidRPr="003220E3">
        <w:rPr>
          <w:rFonts w:ascii="Times New Roman" w:hAnsi="Times New Roman" w:cs="Times New Roman"/>
        </w:rPr>
        <w:t>ve</w:t>
      </w:r>
      <w:r w:rsidRPr="003220E3">
        <w:rPr>
          <w:rFonts w:ascii="Times New Roman" w:hAnsi="Times New Roman" w:cs="Times New Roman"/>
          <w:spacing w:val="-7"/>
        </w:rPr>
        <w:t xml:space="preserve"> </w:t>
      </w:r>
      <w:r w:rsidRPr="003220E3">
        <w:rPr>
          <w:rFonts w:ascii="Times New Roman" w:hAnsi="Times New Roman" w:cs="Times New Roman"/>
        </w:rPr>
        <w:t>sürekli</w:t>
      </w:r>
      <w:r w:rsidRPr="003220E3">
        <w:rPr>
          <w:rFonts w:ascii="Times New Roman" w:hAnsi="Times New Roman" w:cs="Times New Roman"/>
          <w:spacing w:val="-8"/>
        </w:rPr>
        <w:t xml:space="preserve"> </w:t>
      </w:r>
      <w:r w:rsidRPr="003220E3">
        <w:rPr>
          <w:rFonts w:ascii="Times New Roman" w:hAnsi="Times New Roman" w:cs="Times New Roman"/>
        </w:rPr>
        <w:t>iyileştirilmesi</w:t>
      </w:r>
      <w:r w:rsidRPr="003220E3">
        <w:rPr>
          <w:rFonts w:ascii="Times New Roman" w:hAnsi="Times New Roman" w:cs="Times New Roman"/>
          <w:spacing w:val="-8"/>
        </w:rPr>
        <w:t xml:space="preserve"> </w:t>
      </w:r>
      <w:r w:rsidRPr="003220E3">
        <w:rPr>
          <w:rFonts w:ascii="Times New Roman" w:hAnsi="Times New Roman" w:cs="Times New Roman"/>
        </w:rPr>
        <w:t>aşamalarında</w:t>
      </w:r>
      <w:r w:rsidRPr="003220E3">
        <w:rPr>
          <w:rFonts w:ascii="Times New Roman" w:hAnsi="Times New Roman" w:cs="Times New Roman"/>
          <w:spacing w:val="-7"/>
        </w:rPr>
        <w:t xml:space="preserve"> </w:t>
      </w:r>
      <w:r w:rsidRPr="003220E3">
        <w:rPr>
          <w:rFonts w:ascii="Times New Roman" w:hAnsi="Times New Roman" w:cs="Times New Roman"/>
        </w:rPr>
        <w:t>Standart</w:t>
      </w:r>
      <w:r w:rsidRPr="003220E3">
        <w:rPr>
          <w:rFonts w:ascii="Times New Roman" w:hAnsi="Times New Roman" w:cs="Times New Roman"/>
          <w:spacing w:val="-10"/>
        </w:rPr>
        <w:t xml:space="preserve"> </w:t>
      </w:r>
      <w:r w:rsidRPr="003220E3">
        <w:rPr>
          <w:rFonts w:ascii="Times New Roman" w:hAnsi="Times New Roman" w:cs="Times New Roman"/>
        </w:rPr>
        <w:t>şartlarının</w:t>
      </w:r>
      <w:r w:rsidRPr="003220E3">
        <w:rPr>
          <w:rFonts w:ascii="Times New Roman" w:hAnsi="Times New Roman" w:cs="Times New Roman"/>
          <w:spacing w:val="-7"/>
        </w:rPr>
        <w:t xml:space="preserve"> </w:t>
      </w:r>
      <w:r w:rsidRPr="003220E3">
        <w:rPr>
          <w:rFonts w:ascii="Times New Roman" w:hAnsi="Times New Roman" w:cs="Times New Roman"/>
        </w:rPr>
        <w:t>ve</w:t>
      </w:r>
      <w:r w:rsidRPr="003220E3">
        <w:rPr>
          <w:rFonts w:ascii="Times New Roman" w:hAnsi="Times New Roman" w:cs="Times New Roman"/>
          <w:spacing w:val="-7"/>
        </w:rPr>
        <w:t xml:space="preserve"> </w:t>
      </w:r>
      <w:r w:rsidRPr="003220E3">
        <w:rPr>
          <w:rFonts w:ascii="Times New Roman" w:hAnsi="Times New Roman" w:cs="Times New Roman"/>
        </w:rPr>
        <w:t xml:space="preserve">gereksinimlerinin nasıl karşılandığını açıklamak ve </w:t>
      </w:r>
      <w:proofErr w:type="spellStart"/>
      <w:r w:rsidRPr="003220E3">
        <w:rPr>
          <w:rFonts w:ascii="Times New Roman" w:hAnsi="Times New Roman" w:cs="Times New Roman"/>
        </w:rPr>
        <w:t>tariflemek</w:t>
      </w:r>
      <w:proofErr w:type="spellEnd"/>
      <w:r w:rsidRPr="003220E3">
        <w:rPr>
          <w:rFonts w:ascii="Times New Roman" w:hAnsi="Times New Roman" w:cs="Times New Roman"/>
        </w:rPr>
        <w:t xml:space="preserve"> amacıyla hazırlanmıştır.</w:t>
      </w:r>
    </w:p>
    <w:p w:rsidR="00FC0F37" w:rsidRPr="00FC0F37" w:rsidRDefault="00FC0F37" w:rsidP="00FC0F37">
      <w:pPr>
        <w:pStyle w:val="GvdeMetni"/>
        <w:spacing w:before="221" w:line="276" w:lineRule="auto"/>
        <w:ind w:right="340" w:firstLine="360"/>
        <w:jc w:val="both"/>
        <w:rPr>
          <w:rFonts w:ascii="Times New Roman" w:hAnsi="Times New Roman" w:cs="Times New Roman"/>
        </w:rPr>
      </w:pPr>
    </w:p>
    <w:p w:rsidR="00FC0F37" w:rsidRDefault="00DE0A65" w:rsidP="00FC0F37">
      <w:pPr>
        <w:numPr>
          <w:ilvl w:val="0"/>
          <w:numId w:val="13"/>
        </w:numPr>
        <w:spacing w:after="160" w:line="276" w:lineRule="auto"/>
        <w:jc w:val="both"/>
        <w:rPr>
          <w:b/>
        </w:rPr>
      </w:pPr>
      <w:r>
        <w:rPr>
          <w:b/>
        </w:rPr>
        <w:t>KAPSAM</w:t>
      </w:r>
    </w:p>
    <w:p w:rsidR="00FC0F37" w:rsidRDefault="00FC0F37" w:rsidP="00FC0F37">
      <w:pPr>
        <w:tabs>
          <w:tab w:val="left" w:pos="426"/>
        </w:tabs>
        <w:spacing w:line="360" w:lineRule="auto"/>
        <w:jc w:val="both"/>
        <w:rPr>
          <w:rFonts w:eastAsia="Microsoft Sans Serif"/>
        </w:rPr>
      </w:pPr>
      <w:r>
        <w:rPr>
          <w:rFonts w:eastAsia="Microsoft Sans Serif"/>
        </w:rPr>
        <w:tab/>
      </w:r>
      <w:r w:rsidRPr="003220E3">
        <w:rPr>
          <w:rFonts w:eastAsia="Microsoft Sans Serif"/>
        </w:rPr>
        <w:t xml:space="preserve">Bu </w:t>
      </w:r>
      <w:proofErr w:type="gramStart"/>
      <w:r w:rsidRPr="003220E3">
        <w:rPr>
          <w:rFonts w:eastAsia="Microsoft Sans Serif"/>
        </w:rPr>
        <w:t>prosedür</w:t>
      </w:r>
      <w:proofErr w:type="gramEnd"/>
      <w:r w:rsidRPr="003220E3">
        <w:rPr>
          <w:rFonts w:eastAsia="Microsoft Sans Serif"/>
        </w:rPr>
        <w:t xml:space="preserve">, kuruluşumuzda bulunan tüm çalışanlarımıza yönelik olup Kişisel Verilerinin Korunması kanunundaki tüm maddeleri kapsar. </w:t>
      </w:r>
    </w:p>
    <w:p w:rsidR="00FC0F37" w:rsidRPr="00FC0F37" w:rsidRDefault="00FC0F37" w:rsidP="00FC0F37">
      <w:pPr>
        <w:tabs>
          <w:tab w:val="left" w:pos="426"/>
        </w:tabs>
        <w:spacing w:line="360" w:lineRule="auto"/>
        <w:jc w:val="both"/>
        <w:rPr>
          <w:rFonts w:eastAsia="Microsoft Sans Serif"/>
        </w:rPr>
      </w:pPr>
    </w:p>
    <w:p w:rsidR="00DE0A65" w:rsidRDefault="00DE0A65" w:rsidP="00DE0A65">
      <w:pPr>
        <w:numPr>
          <w:ilvl w:val="0"/>
          <w:numId w:val="13"/>
        </w:numPr>
        <w:spacing w:after="160" w:line="276" w:lineRule="auto"/>
        <w:jc w:val="both"/>
        <w:rPr>
          <w:b/>
        </w:rPr>
      </w:pPr>
      <w:r>
        <w:rPr>
          <w:b/>
        </w:rPr>
        <w:t>SORUMLULUKLAR</w:t>
      </w:r>
    </w:p>
    <w:p w:rsidR="00FC0F37" w:rsidRPr="00FC0F37" w:rsidRDefault="00FC0F37" w:rsidP="00FC0F37">
      <w:pPr>
        <w:tabs>
          <w:tab w:val="left" w:pos="426"/>
          <w:tab w:val="left" w:pos="567"/>
          <w:tab w:val="left" w:pos="709"/>
        </w:tabs>
        <w:spacing w:line="276" w:lineRule="auto"/>
        <w:ind w:right="141"/>
        <w:jc w:val="both"/>
      </w:pPr>
      <w:r w:rsidRPr="00FC0F37">
        <w:t xml:space="preserve">Bu </w:t>
      </w:r>
      <w:proofErr w:type="gramStart"/>
      <w:r w:rsidRPr="00FC0F37">
        <w:t>prosedürün</w:t>
      </w:r>
      <w:proofErr w:type="gramEnd"/>
      <w:r w:rsidRPr="00FC0F37">
        <w:t xml:space="preserve"> uygulanmasından bütün SDÜ</w:t>
      </w:r>
      <w:r w:rsidR="004600F2">
        <w:t xml:space="preserve"> personelleri</w:t>
      </w:r>
      <w:r w:rsidRPr="00FC0F37">
        <w:t xml:space="preserve"> sorumludur.</w:t>
      </w:r>
    </w:p>
    <w:p w:rsidR="00FC0F37" w:rsidRDefault="00FC0F37" w:rsidP="00FC0F37">
      <w:pPr>
        <w:spacing w:after="160" w:line="276" w:lineRule="auto"/>
        <w:ind w:left="360"/>
        <w:jc w:val="both"/>
        <w:rPr>
          <w:b/>
        </w:rPr>
      </w:pPr>
    </w:p>
    <w:p w:rsidR="00DE0A65" w:rsidRDefault="00DE0A65" w:rsidP="00DE0A65">
      <w:pPr>
        <w:numPr>
          <w:ilvl w:val="0"/>
          <w:numId w:val="13"/>
        </w:numPr>
        <w:spacing w:after="160" w:line="276" w:lineRule="auto"/>
        <w:jc w:val="both"/>
        <w:rPr>
          <w:b/>
        </w:rPr>
      </w:pPr>
      <w:r>
        <w:rPr>
          <w:b/>
        </w:rPr>
        <w:t>TANIMLAR</w:t>
      </w:r>
    </w:p>
    <w:p w:rsidR="00FC0F37" w:rsidRDefault="00FC0F37" w:rsidP="00FC0F37">
      <w:pPr>
        <w:numPr>
          <w:ilvl w:val="0"/>
          <w:numId w:val="15"/>
        </w:numPr>
        <w:ind w:right="-108"/>
        <w:jc w:val="both"/>
        <w:rPr>
          <w:rFonts w:eastAsia="Microsoft Sans Serif"/>
        </w:rPr>
      </w:pPr>
      <w:r w:rsidRPr="00FC0F37">
        <w:rPr>
          <w:rFonts w:eastAsia="Microsoft Sans Serif"/>
          <w:b/>
          <w:bCs/>
          <w:i/>
        </w:rPr>
        <w:t>KVK:</w:t>
      </w:r>
      <w:r w:rsidRPr="003220E3">
        <w:rPr>
          <w:rFonts w:eastAsia="Microsoft Sans Serif"/>
        </w:rPr>
        <w:t xml:space="preserve"> Kişisel Verilerin Korunması</w:t>
      </w:r>
    </w:p>
    <w:p w:rsidR="00FC0F37" w:rsidRDefault="00FC0F37" w:rsidP="00FC0F37">
      <w:pPr>
        <w:numPr>
          <w:ilvl w:val="0"/>
          <w:numId w:val="15"/>
        </w:numPr>
        <w:ind w:right="-108"/>
        <w:jc w:val="both"/>
        <w:rPr>
          <w:rFonts w:eastAsia="Microsoft Sans Serif"/>
        </w:rPr>
      </w:pPr>
      <w:r w:rsidRPr="00FC0F37">
        <w:rPr>
          <w:rFonts w:eastAsia="Microsoft Sans Serif"/>
          <w:b/>
          <w:bCs/>
          <w:i/>
        </w:rPr>
        <w:t>KVKK</w:t>
      </w:r>
      <w:r w:rsidRPr="00FC0F37">
        <w:rPr>
          <w:rFonts w:eastAsia="Microsoft Sans Serif"/>
          <w:b/>
          <w:bCs/>
        </w:rPr>
        <w:t>:</w:t>
      </w:r>
      <w:r w:rsidRPr="00FC0F37">
        <w:rPr>
          <w:rFonts w:eastAsia="Microsoft Sans Serif"/>
        </w:rPr>
        <w:t xml:space="preserve"> Kişisel Verilerin Korunması Kanunu</w:t>
      </w:r>
    </w:p>
    <w:p w:rsidR="00FC0F37" w:rsidRPr="00FC0F37" w:rsidRDefault="00FC0F37" w:rsidP="00FC0F37">
      <w:pPr>
        <w:numPr>
          <w:ilvl w:val="0"/>
          <w:numId w:val="15"/>
        </w:numPr>
        <w:ind w:right="-108"/>
        <w:jc w:val="both"/>
        <w:rPr>
          <w:rFonts w:eastAsia="Microsoft Sans Serif"/>
        </w:rPr>
      </w:pPr>
      <w:r>
        <w:rPr>
          <w:rFonts w:eastAsia="Microsoft Sans Serif"/>
          <w:b/>
          <w:bCs/>
          <w:i/>
        </w:rPr>
        <w:t>SDÜ:</w:t>
      </w:r>
      <w:r>
        <w:rPr>
          <w:rFonts w:eastAsia="Microsoft Sans Serif"/>
        </w:rPr>
        <w:t xml:space="preserve"> Süleyman Demirel Üniversitesi</w:t>
      </w:r>
    </w:p>
    <w:p w:rsidR="00FC0F37" w:rsidRDefault="00FC0F37" w:rsidP="00FC0F37">
      <w:pPr>
        <w:spacing w:after="160" w:line="276" w:lineRule="auto"/>
        <w:jc w:val="both"/>
        <w:rPr>
          <w:b/>
        </w:rPr>
      </w:pPr>
    </w:p>
    <w:p w:rsidR="00DE0A65" w:rsidRDefault="00DE0A65" w:rsidP="00DE0A65">
      <w:pPr>
        <w:numPr>
          <w:ilvl w:val="0"/>
          <w:numId w:val="13"/>
        </w:numPr>
        <w:spacing w:after="160" w:line="276" w:lineRule="auto"/>
        <w:jc w:val="both"/>
        <w:rPr>
          <w:b/>
        </w:rPr>
      </w:pPr>
      <w:r>
        <w:rPr>
          <w:b/>
        </w:rPr>
        <w:t>UYGULAMA</w:t>
      </w:r>
    </w:p>
    <w:p w:rsidR="00FC0F37" w:rsidRDefault="00FC0F37" w:rsidP="00FC0F37">
      <w:pPr>
        <w:numPr>
          <w:ilvl w:val="1"/>
          <w:numId w:val="13"/>
        </w:numPr>
        <w:spacing w:after="160" w:line="276" w:lineRule="auto"/>
        <w:jc w:val="both"/>
        <w:rPr>
          <w:b/>
        </w:rPr>
      </w:pPr>
      <w:r>
        <w:rPr>
          <w:b/>
        </w:rPr>
        <w:t>İrtibat Kişileri Komitesi</w:t>
      </w:r>
    </w:p>
    <w:p w:rsidR="00FC0F37" w:rsidRPr="003220E3" w:rsidRDefault="00FC0F37" w:rsidP="00FC0F37">
      <w:pPr>
        <w:tabs>
          <w:tab w:val="left" w:pos="426"/>
        </w:tabs>
        <w:spacing w:line="360" w:lineRule="auto"/>
        <w:jc w:val="both"/>
      </w:pPr>
      <w:r>
        <w:tab/>
      </w:r>
      <w:r w:rsidRPr="003220E3">
        <w:t>İrtibat kişileri, idari ve teknik tedbirler konusunda İrtibat Kişileri Komitesi’nin görüş ve tavsiyeleriyle hareket eder. İdari ve teknik tedbirler konusunda Kişisel Verileri Koruma Kurumu’nca belirlenen ilkeler dikkate alınır. İrtibat kişileri sorumlu oldukları kurumun kişisel verilerin korunması mevzuatına uyumluluğu için gereken çabayı sarf eder. İrtibat kişisi, kişisel verilerin korunması hukuku kapsamında sorumlu olduğu kurum birimlerini denetler. Bu denetimler sonucunda gerekli durumlarda ilgili birimleri uyarır ve üst yönetimi durumdan haberdar eder.</w:t>
      </w:r>
    </w:p>
    <w:p w:rsidR="00FC0F37" w:rsidRPr="003220E3" w:rsidRDefault="00FC0F37" w:rsidP="00FC0F37">
      <w:pPr>
        <w:tabs>
          <w:tab w:val="left" w:pos="426"/>
        </w:tabs>
        <w:spacing w:line="360" w:lineRule="auto"/>
        <w:jc w:val="both"/>
      </w:pPr>
      <w:r>
        <w:tab/>
      </w:r>
      <w:r w:rsidRPr="003220E3">
        <w:t>İrtibat kişisi, sorumlu olduğu SDÜ çalışanlarından ya da bu SDÜ ile muhatap olan kişilerden gelen bildirimler, kendi gözlem ve denetimleri doğrultusunda ortaya çıkan idari ve teknik risk ve tehditleri kayıt altında tutar ve bunların giderilmesi konusunda İrtibat Kişileri Komitesi’nin de katkılarıyla planlama yapar.</w:t>
      </w:r>
    </w:p>
    <w:p w:rsidR="00FC0F37" w:rsidRDefault="00FC0F37" w:rsidP="00FC0F37">
      <w:pPr>
        <w:tabs>
          <w:tab w:val="left" w:pos="426"/>
        </w:tabs>
        <w:spacing w:line="360" w:lineRule="auto"/>
        <w:jc w:val="both"/>
      </w:pPr>
      <w:r>
        <w:tab/>
      </w:r>
      <w:r w:rsidRPr="003220E3">
        <w:t xml:space="preserve">İrtibat kişileri sorumlu oldukları kuruma yapılan ilgili kişi başvurularının yasal süreler içerisinde ve usule uygun şekilde cevaplandırılması konusunda koordinasyonu sağlar, gerekirse bilfiil </w:t>
      </w:r>
      <w:r w:rsidRPr="003220E3">
        <w:lastRenderedPageBreak/>
        <w:t>cevaplandırmayı yapar. İrtibat kişileri, sorumlu oldukları kurumun, Kişisel Verileri Koruma Kurumu ile olan ilişkilerini yönetir.</w:t>
      </w:r>
    </w:p>
    <w:p w:rsidR="00FC0F37" w:rsidRPr="00FC0F37" w:rsidRDefault="00FC0F37" w:rsidP="00FC0F37">
      <w:pPr>
        <w:tabs>
          <w:tab w:val="left" w:pos="426"/>
        </w:tabs>
        <w:spacing w:line="360" w:lineRule="auto"/>
        <w:jc w:val="both"/>
      </w:pPr>
    </w:p>
    <w:p w:rsidR="00FC0F37" w:rsidRDefault="00FC0F37" w:rsidP="00FC0F37">
      <w:pPr>
        <w:numPr>
          <w:ilvl w:val="1"/>
          <w:numId w:val="13"/>
        </w:numPr>
        <w:spacing w:after="160" w:line="276" w:lineRule="auto"/>
        <w:jc w:val="both"/>
        <w:rPr>
          <w:b/>
        </w:rPr>
      </w:pPr>
      <w:r>
        <w:rPr>
          <w:b/>
        </w:rPr>
        <w:t>Kişisel Veri İşleme Envanteri</w:t>
      </w:r>
    </w:p>
    <w:p w:rsidR="00FC0F37" w:rsidRDefault="00FC0F37" w:rsidP="00FC0F37">
      <w:pPr>
        <w:spacing w:after="160" w:line="276" w:lineRule="auto"/>
        <w:ind w:firstLine="360"/>
        <w:jc w:val="both"/>
        <w:rPr>
          <w:b/>
        </w:rPr>
      </w:pPr>
      <w:r w:rsidRPr="003220E3">
        <w:t xml:space="preserve">SDÜ, her birimi güncel birer kişisel veri işleme </w:t>
      </w:r>
      <w:proofErr w:type="gramStart"/>
      <w:r w:rsidRPr="003220E3">
        <w:t>envanteri</w:t>
      </w:r>
      <w:proofErr w:type="gramEnd"/>
      <w:r w:rsidRPr="003220E3">
        <w:t xml:space="preserve"> tutar ve talep halinde bunu irtibat kişisiyle paylaşır. Birim yöneticisi bu </w:t>
      </w:r>
      <w:proofErr w:type="gramStart"/>
      <w:r w:rsidRPr="003220E3">
        <w:t>envanterin</w:t>
      </w:r>
      <w:proofErr w:type="gramEnd"/>
      <w:r w:rsidRPr="003220E3">
        <w:t xml:space="preserve"> doğruluğundan, güncelliğinden ve gerektiğinde irtibat kişisine ibrazından sorumludur. Envanterlerin doğru tutulması, kişisel verilerin korunmasına ilişkin güncel </w:t>
      </w:r>
      <w:r w:rsidR="00F37AA7">
        <w:t>kurum</w:t>
      </w:r>
      <w:r w:rsidRPr="003220E3">
        <w:t xml:space="preserve"> politikasının uygulanması ve kişisel verilerin korunması konusundaki güncel </w:t>
      </w:r>
      <w:bookmarkStart w:id="0" w:name="_GoBack"/>
      <w:r w:rsidRPr="003220E3">
        <w:t xml:space="preserve">gelişmeler konusunda irtibat kişisi, İrtibat Kişileri Komitesi’yle ortak eğitim planı çıkararak bunu </w:t>
      </w:r>
      <w:bookmarkEnd w:id="0"/>
      <w:r w:rsidRPr="003220E3">
        <w:t>uygulamaya koyar.</w:t>
      </w:r>
    </w:p>
    <w:p w:rsidR="00FC0F37" w:rsidRDefault="00FC0F37" w:rsidP="00FC0F37">
      <w:pPr>
        <w:numPr>
          <w:ilvl w:val="1"/>
          <w:numId w:val="13"/>
        </w:numPr>
        <w:spacing w:after="160" w:line="276" w:lineRule="auto"/>
        <w:jc w:val="both"/>
        <w:rPr>
          <w:b/>
        </w:rPr>
      </w:pPr>
      <w:r w:rsidRPr="00FC0F37">
        <w:rPr>
          <w:b/>
        </w:rPr>
        <w:t>Kişisel Veri İşleme ve Aktarmaya İlişkin Genel İlkeler</w:t>
      </w:r>
    </w:p>
    <w:p w:rsidR="00FC0F37" w:rsidRPr="003220E3" w:rsidRDefault="00FC0F37" w:rsidP="00FC0F37">
      <w:pPr>
        <w:spacing w:line="360" w:lineRule="auto"/>
        <w:ind w:firstLine="360"/>
        <w:jc w:val="both"/>
      </w:pPr>
      <w:r w:rsidRPr="003220E3">
        <w:t xml:space="preserve">SDÜ, bu politikanın uygulanmasının temini için gerekli idari ve teknik tedbirleri alır ve bunların güncel tutulmasını sağlar. SDÜ, </w:t>
      </w:r>
      <w:proofErr w:type="gramStart"/>
      <w:r w:rsidRPr="003220E3">
        <w:t>prosedürün</w:t>
      </w:r>
      <w:proofErr w:type="gramEnd"/>
      <w:r w:rsidRPr="003220E3">
        <w:t xml:space="preserve"> uygulanması amacıyla çalışanlarını eğitir, veri işleyen statüsündeki çözüm ortaklarından gerekli taahhütleri alır. SDÜ </w:t>
      </w:r>
      <w:r w:rsidR="004600F2">
        <w:t>personelleri</w:t>
      </w:r>
      <w:r w:rsidRPr="003220E3">
        <w:t>, kişisel veri işleme faaliyetlerinde bu politikada yer alan ilke ve ölçütlere riayet ederler.</w:t>
      </w:r>
    </w:p>
    <w:p w:rsidR="00FC0F37" w:rsidRPr="003220E3" w:rsidRDefault="00FC0F37" w:rsidP="00FC0F37">
      <w:pPr>
        <w:spacing w:line="360" w:lineRule="auto"/>
        <w:ind w:firstLine="360"/>
        <w:jc w:val="both"/>
      </w:pPr>
      <w:r w:rsidRPr="003220E3">
        <w:t>Mevzuata uygun olarak SDÜ, kişisel veri işleme ve aktarma faaliyetlerinin aşağıdaki ölçütlere uygun olmasını sağlar:</w:t>
      </w:r>
    </w:p>
    <w:p w:rsidR="00FC0F37" w:rsidRPr="003220E3" w:rsidRDefault="00FC0F37" w:rsidP="00FC0F37">
      <w:pPr>
        <w:numPr>
          <w:ilvl w:val="0"/>
          <w:numId w:val="16"/>
        </w:numPr>
        <w:spacing w:line="360" w:lineRule="auto"/>
        <w:jc w:val="both"/>
      </w:pPr>
      <w:r w:rsidRPr="003220E3">
        <w:t>Hukuka ve dürüstlük kurallarına uygun olma,</w:t>
      </w:r>
    </w:p>
    <w:p w:rsidR="00FC0F37" w:rsidRPr="003220E3" w:rsidRDefault="00FC0F37" w:rsidP="00FC0F37">
      <w:pPr>
        <w:numPr>
          <w:ilvl w:val="0"/>
          <w:numId w:val="16"/>
        </w:numPr>
        <w:spacing w:line="360" w:lineRule="auto"/>
        <w:jc w:val="both"/>
      </w:pPr>
      <w:r w:rsidRPr="003220E3">
        <w:t>Doğru ve gerektiğinde güncel olma,</w:t>
      </w:r>
    </w:p>
    <w:p w:rsidR="00FC0F37" w:rsidRPr="003220E3" w:rsidRDefault="00FC0F37" w:rsidP="00FC0F37">
      <w:pPr>
        <w:numPr>
          <w:ilvl w:val="0"/>
          <w:numId w:val="16"/>
        </w:numPr>
        <w:tabs>
          <w:tab w:val="center" w:pos="4536"/>
        </w:tabs>
        <w:spacing w:line="360" w:lineRule="auto"/>
        <w:jc w:val="both"/>
      </w:pPr>
      <w:r w:rsidRPr="003220E3">
        <w:t>Belirli, açık ve meşru amaçlar için işlenme,</w:t>
      </w:r>
      <w:r w:rsidRPr="003220E3">
        <w:tab/>
      </w:r>
    </w:p>
    <w:p w:rsidR="00FC0F37" w:rsidRPr="003220E3" w:rsidRDefault="00FC0F37" w:rsidP="00FC0F37">
      <w:pPr>
        <w:numPr>
          <w:ilvl w:val="0"/>
          <w:numId w:val="16"/>
        </w:numPr>
        <w:spacing w:line="360" w:lineRule="auto"/>
        <w:jc w:val="both"/>
      </w:pPr>
      <w:r w:rsidRPr="003220E3">
        <w:t xml:space="preserve">İşlendikleri amaçla bağlantılı, sınırlı ve ölçülü olma (veri </w:t>
      </w:r>
      <w:proofErr w:type="spellStart"/>
      <w:r w:rsidRPr="003220E3">
        <w:t>minimizasyonu</w:t>
      </w:r>
      <w:proofErr w:type="spellEnd"/>
      <w:r w:rsidRPr="003220E3">
        <w:t xml:space="preserve"> ilkesi),</w:t>
      </w:r>
    </w:p>
    <w:p w:rsidR="00FC0F37" w:rsidRPr="00FC0F37" w:rsidRDefault="00FC0F37" w:rsidP="00FC0F37">
      <w:pPr>
        <w:numPr>
          <w:ilvl w:val="0"/>
          <w:numId w:val="16"/>
        </w:numPr>
        <w:spacing w:after="160" w:line="276" w:lineRule="auto"/>
        <w:jc w:val="both"/>
        <w:rPr>
          <w:b/>
        </w:rPr>
      </w:pPr>
      <w:r w:rsidRPr="003220E3">
        <w:t>İlgili mevzuatta öngörülen veya işlendikleri amaç için gerekli olan süre kadar muhafaza edilme</w:t>
      </w:r>
      <w:r w:rsidRPr="003220E3">
        <w:rPr>
          <w:rFonts w:eastAsia="NSimSun"/>
          <w:i/>
        </w:rPr>
        <w:t>.</w:t>
      </w:r>
    </w:p>
    <w:p w:rsidR="00FC0F37" w:rsidRDefault="00FC0F37" w:rsidP="00FC0F37">
      <w:pPr>
        <w:spacing w:after="160" w:line="276" w:lineRule="auto"/>
        <w:jc w:val="both"/>
        <w:rPr>
          <w:rFonts w:eastAsia="NSimSun"/>
          <w:i/>
        </w:rPr>
      </w:pPr>
    </w:p>
    <w:p w:rsidR="00FC0F37" w:rsidRDefault="00FC0F37" w:rsidP="00FC0F37">
      <w:pPr>
        <w:numPr>
          <w:ilvl w:val="1"/>
          <w:numId w:val="13"/>
        </w:numPr>
        <w:spacing w:after="160" w:line="276" w:lineRule="auto"/>
        <w:jc w:val="both"/>
        <w:rPr>
          <w:b/>
        </w:rPr>
      </w:pPr>
      <w:r w:rsidRPr="00FC0F37">
        <w:rPr>
          <w:b/>
        </w:rPr>
        <w:t>Kişisel Verilerin İşlenme ve Aktarmaya İlişkin Genel İlkeler</w:t>
      </w:r>
    </w:p>
    <w:p w:rsidR="00FC0F37" w:rsidRPr="003220E3" w:rsidRDefault="00FC0F37" w:rsidP="00FC0F37">
      <w:pPr>
        <w:spacing w:line="360" w:lineRule="auto"/>
        <w:ind w:firstLine="360"/>
        <w:jc w:val="both"/>
      </w:pPr>
      <w:r w:rsidRPr="003220E3">
        <w:t>SDÜ, kişisel veri işleme faaliyetlerinin 6698 sayılı Kanun’un 5’inci maddesinde yer alan veri işleme şartlarından biri ya da birkaçına dayalı olarak gerçekleşmesini sağlar.</w:t>
      </w:r>
    </w:p>
    <w:p w:rsidR="00FC0F37" w:rsidRPr="003220E3" w:rsidRDefault="00FC0F37" w:rsidP="00FC0F37">
      <w:pPr>
        <w:spacing w:line="360" w:lineRule="auto"/>
        <w:ind w:firstLine="360"/>
        <w:jc w:val="both"/>
      </w:pPr>
      <w:r w:rsidRPr="003220E3">
        <w:t>SDÜ özel nitelikli kişisel verilerin işlenmesinde Kişisel Verileri Koruma Kurulu’nun aldığı kararlar doğrultusunda gerekli önlemleri alır.</w:t>
      </w:r>
    </w:p>
    <w:p w:rsidR="00FC0F37" w:rsidRPr="003220E3" w:rsidRDefault="00FC0F37" w:rsidP="00FC0F37">
      <w:pPr>
        <w:spacing w:line="360" w:lineRule="auto"/>
        <w:ind w:firstLine="360"/>
        <w:jc w:val="both"/>
      </w:pPr>
      <w:r w:rsidRPr="003220E3">
        <w:t xml:space="preserve">Kişisel veri işleme amacı ortadan kalktığında ya da veri </w:t>
      </w:r>
      <w:proofErr w:type="spellStart"/>
      <w:r w:rsidRPr="003220E3">
        <w:t>minimizasyonu</w:t>
      </w:r>
      <w:proofErr w:type="spellEnd"/>
      <w:r w:rsidRPr="003220E3">
        <w:t xml:space="preserve"> ilkesi doğrultusunda ilgili faaliyet için gerekli verilerden daha fazla kişisel veri işlendiği tespit edildiğinde bu veriler hukuka uygun şekilde imha edilir.</w:t>
      </w:r>
    </w:p>
    <w:p w:rsidR="00FC0F37" w:rsidRPr="00FC0F37" w:rsidRDefault="00FC0F37" w:rsidP="00FC0F37">
      <w:pPr>
        <w:spacing w:after="160" w:line="276" w:lineRule="auto"/>
        <w:ind w:firstLine="360"/>
        <w:jc w:val="both"/>
        <w:rPr>
          <w:b/>
        </w:rPr>
      </w:pPr>
      <w:r w:rsidRPr="003220E3">
        <w:lastRenderedPageBreak/>
        <w:t>SDÜ faaliyetleri kapsamında kişisel verilerin aktarılması, mevzuatta öngörülen veri aktarım şartlarına tabidir. SDÜ kişisel verilerin aktarılmasında 6698 sayılı Kanun’un 8’inci ve 9’uncu maddelerine riayet eder. Aktarılan kişilerden veri güvenliğine, verilerin aktarım amacıyla bağlantılı, sınırlı ve ölçülü işlendiğine, aktarım amacı ortadan kalktığında usule uygun şekilde imha edileceğine ve gizliliğine ilişkin olarak taahhüt alınır. SDÜ, veri aktarımı gerçekleştirdiği üçüncü kişilerle olan ilişkilerinde sektördeki teamüller de gözetilir.</w:t>
      </w:r>
    </w:p>
    <w:p w:rsidR="00FC0F37" w:rsidRDefault="00FC0F37" w:rsidP="00FC0F37">
      <w:pPr>
        <w:numPr>
          <w:ilvl w:val="1"/>
          <w:numId w:val="13"/>
        </w:numPr>
        <w:spacing w:after="160" w:line="276" w:lineRule="auto"/>
        <w:jc w:val="both"/>
        <w:rPr>
          <w:b/>
        </w:rPr>
      </w:pPr>
      <w:r w:rsidRPr="00FC0F37">
        <w:rPr>
          <w:b/>
        </w:rPr>
        <w:t>SDÜ Kişisel Verilerin Korunması Kanunu Yükümlülükleri</w:t>
      </w:r>
    </w:p>
    <w:p w:rsidR="00FC0F37" w:rsidRPr="003220E3" w:rsidRDefault="00FC0F37" w:rsidP="00FC0F37">
      <w:pPr>
        <w:numPr>
          <w:ilvl w:val="0"/>
          <w:numId w:val="18"/>
        </w:numPr>
        <w:tabs>
          <w:tab w:val="left" w:pos="1217"/>
        </w:tabs>
        <w:spacing w:line="360" w:lineRule="auto"/>
        <w:jc w:val="both"/>
        <w:rPr>
          <w:rFonts w:eastAsia="NSimSun"/>
          <w:b/>
          <w:i/>
        </w:rPr>
      </w:pPr>
      <w:r w:rsidRPr="003220E3">
        <w:rPr>
          <w:rFonts w:eastAsia="NSimSun"/>
          <w:b/>
          <w:i/>
        </w:rPr>
        <w:t>İlgili kişiyi aydınlatma yükümlülüğü</w:t>
      </w:r>
    </w:p>
    <w:p w:rsidR="00FC0F37" w:rsidRPr="003220E3" w:rsidRDefault="00FC0F37" w:rsidP="00FC0F37">
      <w:pPr>
        <w:tabs>
          <w:tab w:val="left" w:pos="1217"/>
        </w:tabs>
        <w:spacing w:line="360" w:lineRule="auto"/>
        <w:ind w:left="426" w:hanging="142"/>
        <w:jc w:val="both"/>
        <w:rPr>
          <w:rFonts w:eastAsia="NSimSun"/>
          <w:b/>
          <w:i/>
        </w:rPr>
      </w:pPr>
      <w:r>
        <w:tab/>
      </w:r>
      <w:r w:rsidRPr="003220E3">
        <w:t>İrtibat Kişileri Komitesi, SDÜ faaliyetleri kapsamında kişisel verileri işlenen İlgili Kişilerin aşağıdaki bilgiler hakkında aydınlatılması için gerekli yöntem ve uygulamaları belirler:</w:t>
      </w:r>
    </w:p>
    <w:p w:rsidR="00FC0F37" w:rsidRPr="003220E3" w:rsidRDefault="00FC0F37" w:rsidP="00FC0F37">
      <w:pPr>
        <w:pStyle w:val="ListeParagraf"/>
        <w:numPr>
          <w:ilvl w:val="0"/>
          <w:numId w:val="17"/>
        </w:numPr>
        <w:tabs>
          <w:tab w:val="left" w:pos="1217"/>
        </w:tabs>
        <w:spacing w:line="360" w:lineRule="auto"/>
        <w:ind w:left="0" w:firstLine="1276"/>
        <w:jc w:val="both"/>
        <w:rPr>
          <w:rFonts w:ascii="Times New Roman" w:hAnsi="Times New Roman" w:cs="Times New Roman"/>
          <w:sz w:val="24"/>
          <w:szCs w:val="24"/>
        </w:rPr>
      </w:pPr>
      <w:r w:rsidRPr="003220E3">
        <w:rPr>
          <w:rFonts w:ascii="Times New Roman" w:hAnsi="Times New Roman" w:cs="Times New Roman"/>
          <w:sz w:val="24"/>
          <w:szCs w:val="24"/>
        </w:rPr>
        <w:t>Veri Sorumlusunun ve varsa temsilcisinin kimliği,</w:t>
      </w:r>
    </w:p>
    <w:p w:rsidR="00FC0F37" w:rsidRPr="003220E3" w:rsidRDefault="00FC0F37" w:rsidP="00FC0F37">
      <w:pPr>
        <w:pStyle w:val="ListeParagraf"/>
        <w:numPr>
          <w:ilvl w:val="0"/>
          <w:numId w:val="17"/>
        </w:numPr>
        <w:tabs>
          <w:tab w:val="left" w:pos="1217"/>
        </w:tabs>
        <w:spacing w:line="360" w:lineRule="auto"/>
        <w:ind w:left="0" w:firstLine="1276"/>
        <w:jc w:val="both"/>
        <w:rPr>
          <w:rFonts w:ascii="Times New Roman" w:hAnsi="Times New Roman" w:cs="Times New Roman"/>
          <w:sz w:val="24"/>
          <w:szCs w:val="24"/>
        </w:rPr>
      </w:pPr>
      <w:r w:rsidRPr="003220E3">
        <w:rPr>
          <w:rFonts w:ascii="Times New Roman" w:hAnsi="Times New Roman" w:cs="Times New Roman"/>
          <w:sz w:val="24"/>
          <w:szCs w:val="24"/>
        </w:rPr>
        <w:t>Kişisel Veri işlemenin amacı,</w:t>
      </w:r>
    </w:p>
    <w:p w:rsidR="00FC0F37" w:rsidRPr="003220E3" w:rsidRDefault="00FC0F37" w:rsidP="00FC0F37">
      <w:pPr>
        <w:pStyle w:val="ListeParagraf"/>
        <w:numPr>
          <w:ilvl w:val="0"/>
          <w:numId w:val="17"/>
        </w:numPr>
        <w:tabs>
          <w:tab w:val="left" w:pos="1217"/>
        </w:tabs>
        <w:spacing w:line="360" w:lineRule="auto"/>
        <w:ind w:left="0" w:firstLine="1276"/>
        <w:jc w:val="both"/>
        <w:rPr>
          <w:rFonts w:ascii="Times New Roman" w:hAnsi="Times New Roman" w:cs="Times New Roman"/>
          <w:sz w:val="24"/>
          <w:szCs w:val="24"/>
        </w:rPr>
      </w:pPr>
      <w:r w:rsidRPr="003220E3">
        <w:rPr>
          <w:rFonts w:ascii="Times New Roman" w:hAnsi="Times New Roman" w:cs="Times New Roman"/>
          <w:sz w:val="24"/>
          <w:szCs w:val="24"/>
        </w:rPr>
        <w:t>Kişisel Verilerin kimlere ve hangi amaçlarla aktarılabileceği,</w:t>
      </w:r>
    </w:p>
    <w:p w:rsidR="00FC0F37" w:rsidRPr="003220E3" w:rsidRDefault="00FC0F37" w:rsidP="00FC0F37">
      <w:pPr>
        <w:pStyle w:val="ListeParagraf"/>
        <w:numPr>
          <w:ilvl w:val="0"/>
          <w:numId w:val="17"/>
        </w:numPr>
        <w:tabs>
          <w:tab w:val="left" w:pos="1217"/>
        </w:tabs>
        <w:spacing w:line="360" w:lineRule="auto"/>
        <w:ind w:left="0" w:firstLine="1276"/>
        <w:jc w:val="both"/>
        <w:rPr>
          <w:rFonts w:ascii="Times New Roman" w:hAnsi="Times New Roman" w:cs="Times New Roman"/>
          <w:sz w:val="24"/>
          <w:szCs w:val="24"/>
        </w:rPr>
      </w:pPr>
      <w:r w:rsidRPr="003220E3">
        <w:rPr>
          <w:rFonts w:ascii="Times New Roman" w:hAnsi="Times New Roman" w:cs="Times New Roman"/>
          <w:sz w:val="24"/>
          <w:szCs w:val="24"/>
        </w:rPr>
        <w:t>Kişisel Veri toplamanın yöntemi ve hukuki sebebi,</w:t>
      </w:r>
    </w:p>
    <w:p w:rsidR="00FC0F37" w:rsidRPr="003220E3" w:rsidRDefault="00FC0F37" w:rsidP="00FC0F37">
      <w:pPr>
        <w:pStyle w:val="ListeParagraf"/>
        <w:numPr>
          <w:ilvl w:val="0"/>
          <w:numId w:val="17"/>
        </w:numPr>
        <w:tabs>
          <w:tab w:val="left" w:pos="1217"/>
        </w:tabs>
        <w:spacing w:line="360" w:lineRule="auto"/>
        <w:ind w:left="0" w:firstLine="1276"/>
        <w:jc w:val="both"/>
        <w:rPr>
          <w:rFonts w:ascii="Times New Roman" w:hAnsi="Times New Roman" w:cs="Times New Roman"/>
          <w:sz w:val="24"/>
          <w:szCs w:val="24"/>
        </w:rPr>
      </w:pPr>
      <w:r w:rsidRPr="003220E3">
        <w:rPr>
          <w:rFonts w:ascii="Times New Roman" w:hAnsi="Times New Roman" w:cs="Times New Roman"/>
          <w:sz w:val="24"/>
          <w:szCs w:val="24"/>
        </w:rPr>
        <w:t>Veri sahibinin hakları.</w:t>
      </w:r>
    </w:p>
    <w:p w:rsidR="00FC0F37" w:rsidRPr="003220E3" w:rsidRDefault="00FC0F37" w:rsidP="00FC0F37">
      <w:pPr>
        <w:numPr>
          <w:ilvl w:val="0"/>
          <w:numId w:val="18"/>
        </w:numPr>
        <w:tabs>
          <w:tab w:val="left" w:pos="1217"/>
        </w:tabs>
        <w:spacing w:line="360" w:lineRule="auto"/>
        <w:jc w:val="both"/>
        <w:rPr>
          <w:rFonts w:eastAsia="NSimSun"/>
          <w:b/>
          <w:i/>
        </w:rPr>
      </w:pPr>
      <w:r w:rsidRPr="003220E3">
        <w:rPr>
          <w:rFonts w:eastAsia="NSimSun"/>
          <w:b/>
          <w:i/>
        </w:rPr>
        <w:t>İlgili kişi başvurularını cevaplandırma yükümlülüğü</w:t>
      </w:r>
    </w:p>
    <w:p w:rsidR="00FC0F37" w:rsidRPr="003220E3" w:rsidRDefault="00FC0F37" w:rsidP="00FC0F37">
      <w:pPr>
        <w:tabs>
          <w:tab w:val="left" w:pos="1217"/>
        </w:tabs>
        <w:spacing w:line="360" w:lineRule="auto"/>
        <w:ind w:left="426" w:hanging="426"/>
        <w:jc w:val="both"/>
      </w:pPr>
      <w:r>
        <w:tab/>
      </w:r>
      <w:r w:rsidRPr="003220E3">
        <w:t>Veri sorumlusu SDÜ, yapılan İlgili Kişi başvurularında İlgili Kişinin aşağıdaki hakları olduğunu bilinciyle hareket eder:</w:t>
      </w:r>
    </w:p>
    <w:p w:rsidR="00FC0F37" w:rsidRPr="003220E3" w:rsidRDefault="00FC0F37" w:rsidP="00FC0F37">
      <w:pPr>
        <w:pStyle w:val="ListeParagraf"/>
        <w:numPr>
          <w:ilvl w:val="0"/>
          <w:numId w:val="19"/>
        </w:numPr>
        <w:tabs>
          <w:tab w:val="left" w:pos="1217"/>
          <w:tab w:val="left" w:pos="1560"/>
        </w:tabs>
        <w:spacing w:line="360" w:lineRule="auto"/>
        <w:ind w:left="0" w:firstLine="1418"/>
        <w:jc w:val="both"/>
        <w:rPr>
          <w:rFonts w:ascii="Times New Roman" w:hAnsi="Times New Roman" w:cs="Times New Roman"/>
          <w:sz w:val="24"/>
          <w:szCs w:val="24"/>
        </w:rPr>
      </w:pPr>
      <w:r w:rsidRPr="003220E3">
        <w:rPr>
          <w:rFonts w:ascii="Times New Roman" w:hAnsi="Times New Roman" w:cs="Times New Roman"/>
          <w:sz w:val="24"/>
          <w:szCs w:val="24"/>
        </w:rPr>
        <w:t>Kişisel verilerinin işlenip işlenmediğini öğrenme,</w:t>
      </w:r>
    </w:p>
    <w:p w:rsidR="00FC0F37" w:rsidRPr="003220E3" w:rsidRDefault="00FC0F37" w:rsidP="00FC0F37">
      <w:pPr>
        <w:pStyle w:val="ListeParagraf"/>
        <w:numPr>
          <w:ilvl w:val="0"/>
          <w:numId w:val="19"/>
        </w:numPr>
        <w:tabs>
          <w:tab w:val="left" w:pos="1217"/>
          <w:tab w:val="left" w:pos="1560"/>
        </w:tabs>
        <w:spacing w:line="360" w:lineRule="auto"/>
        <w:ind w:left="0" w:firstLine="1418"/>
        <w:jc w:val="both"/>
        <w:rPr>
          <w:rFonts w:ascii="Times New Roman" w:hAnsi="Times New Roman" w:cs="Times New Roman"/>
          <w:sz w:val="24"/>
          <w:szCs w:val="24"/>
        </w:rPr>
      </w:pPr>
      <w:r w:rsidRPr="003220E3">
        <w:rPr>
          <w:rFonts w:ascii="Times New Roman" w:hAnsi="Times New Roman" w:cs="Times New Roman"/>
          <w:sz w:val="24"/>
          <w:szCs w:val="24"/>
        </w:rPr>
        <w:t>Kişisel verileri işlenmişse buna ilişkin bilgi talep etme,</w:t>
      </w:r>
    </w:p>
    <w:p w:rsidR="00FC0F37" w:rsidRPr="003220E3" w:rsidRDefault="00FC0F37" w:rsidP="00FC0F37">
      <w:pPr>
        <w:pStyle w:val="ListeParagraf"/>
        <w:numPr>
          <w:ilvl w:val="0"/>
          <w:numId w:val="19"/>
        </w:numPr>
        <w:tabs>
          <w:tab w:val="left" w:pos="1217"/>
          <w:tab w:val="left" w:pos="1560"/>
        </w:tabs>
        <w:spacing w:line="360" w:lineRule="auto"/>
        <w:ind w:left="1560" w:hanging="142"/>
        <w:jc w:val="both"/>
        <w:rPr>
          <w:rFonts w:ascii="Times New Roman" w:hAnsi="Times New Roman" w:cs="Times New Roman"/>
          <w:sz w:val="24"/>
          <w:szCs w:val="24"/>
        </w:rPr>
      </w:pPr>
      <w:r w:rsidRPr="003220E3">
        <w:rPr>
          <w:rFonts w:ascii="Times New Roman" w:hAnsi="Times New Roman" w:cs="Times New Roman"/>
          <w:sz w:val="24"/>
          <w:szCs w:val="24"/>
        </w:rPr>
        <w:t>Kişisel verilerinin işlenme amacını ve bunların amacına uygun kullanılıp kullanılmadığını öğrenme,</w:t>
      </w:r>
    </w:p>
    <w:p w:rsidR="00FC0F37" w:rsidRPr="003220E3" w:rsidRDefault="00FC0F37" w:rsidP="00FC0F37">
      <w:pPr>
        <w:pStyle w:val="ListeParagraf"/>
        <w:numPr>
          <w:ilvl w:val="0"/>
          <w:numId w:val="19"/>
        </w:numPr>
        <w:tabs>
          <w:tab w:val="left" w:pos="1217"/>
          <w:tab w:val="left" w:pos="1560"/>
        </w:tabs>
        <w:spacing w:line="360" w:lineRule="auto"/>
        <w:ind w:left="0" w:firstLine="1418"/>
        <w:jc w:val="both"/>
        <w:rPr>
          <w:rFonts w:ascii="Times New Roman" w:hAnsi="Times New Roman" w:cs="Times New Roman"/>
          <w:sz w:val="24"/>
          <w:szCs w:val="24"/>
        </w:rPr>
      </w:pPr>
      <w:r w:rsidRPr="003220E3">
        <w:rPr>
          <w:rFonts w:ascii="Times New Roman" w:hAnsi="Times New Roman" w:cs="Times New Roman"/>
          <w:sz w:val="24"/>
          <w:szCs w:val="24"/>
        </w:rPr>
        <w:t>Yurt içinde veya yurt dışında kişisel verilerinin aktarıldığı üçüncü kişileri bilme,</w:t>
      </w:r>
    </w:p>
    <w:p w:rsidR="00FC0F37" w:rsidRPr="003220E3" w:rsidRDefault="00FC0F37" w:rsidP="00FC0F37">
      <w:pPr>
        <w:pStyle w:val="ListeParagraf"/>
        <w:numPr>
          <w:ilvl w:val="0"/>
          <w:numId w:val="19"/>
        </w:numPr>
        <w:tabs>
          <w:tab w:val="left" w:pos="1217"/>
          <w:tab w:val="left" w:pos="1560"/>
        </w:tabs>
        <w:spacing w:line="360" w:lineRule="auto"/>
        <w:ind w:left="1560" w:hanging="142"/>
        <w:jc w:val="both"/>
        <w:rPr>
          <w:rFonts w:ascii="Times New Roman" w:hAnsi="Times New Roman" w:cs="Times New Roman"/>
          <w:sz w:val="24"/>
          <w:szCs w:val="24"/>
        </w:rPr>
      </w:pPr>
      <w:r w:rsidRPr="003220E3">
        <w:rPr>
          <w:rFonts w:ascii="Times New Roman" w:hAnsi="Times New Roman" w:cs="Times New Roman"/>
          <w:sz w:val="24"/>
          <w:szCs w:val="24"/>
        </w:rPr>
        <w:t>Kişisel verilerinin eksik veya yanlış işlenmiş olması hâlinde bunların düzeltilmesini isteme,</w:t>
      </w:r>
    </w:p>
    <w:p w:rsidR="00FC0F37" w:rsidRPr="003220E3" w:rsidRDefault="00FC0F37" w:rsidP="00FC0F37">
      <w:pPr>
        <w:pStyle w:val="ListeParagraf"/>
        <w:numPr>
          <w:ilvl w:val="0"/>
          <w:numId w:val="19"/>
        </w:numPr>
        <w:tabs>
          <w:tab w:val="left" w:pos="1217"/>
          <w:tab w:val="left" w:pos="1560"/>
        </w:tabs>
        <w:spacing w:line="360" w:lineRule="auto"/>
        <w:ind w:left="1560" w:hanging="142"/>
        <w:jc w:val="both"/>
        <w:rPr>
          <w:rFonts w:ascii="Times New Roman" w:hAnsi="Times New Roman" w:cs="Times New Roman"/>
          <w:sz w:val="24"/>
          <w:szCs w:val="24"/>
        </w:rPr>
      </w:pPr>
      <w:r w:rsidRPr="003220E3">
        <w:rPr>
          <w:rFonts w:ascii="Times New Roman" w:hAnsi="Times New Roman" w:cs="Times New Roman"/>
          <w:sz w:val="24"/>
          <w:szCs w:val="24"/>
        </w:rPr>
        <w:t>Veri işleme şartlarının bulunmadığı ya da ortadan kalktığı durumlarda hukuka uygun olarak kişisel verilerinin silinmesini veya yok edilmesini isteme,</w:t>
      </w:r>
    </w:p>
    <w:p w:rsidR="00FC0F37" w:rsidRPr="003220E3" w:rsidRDefault="00FC0F37" w:rsidP="00FC0F37">
      <w:pPr>
        <w:pStyle w:val="ListeParagraf"/>
        <w:numPr>
          <w:ilvl w:val="0"/>
          <w:numId w:val="19"/>
        </w:numPr>
        <w:tabs>
          <w:tab w:val="left" w:pos="1217"/>
          <w:tab w:val="left" w:pos="1560"/>
        </w:tabs>
        <w:spacing w:line="360" w:lineRule="auto"/>
        <w:ind w:left="1560" w:hanging="142"/>
        <w:jc w:val="both"/>
        <w:rPr>
          <w:rFonts w:ascii="Times New Roman" w:hAnsi="Times New Roman" w:cs="Times New Roman"/>
          <w:sz w:val="24"/>
          <w:szCs w:val="24"/>
        </w:rPr>
      </w:pPr>
      <w:r w:rsidRPr="003220E3">
        <w:rPr>
          <w:rFonts w:ascii="Times New Roman" w:hAnsi="Times New Roman" w:cs="Times New Roman"/>
          <w:sz w:val="24"/>
          <w:szCs w:val="24"/>
        </w:rPr>
        <w:t>Düzeltme veya imha işlemlerinin kişisel verilerinin aktarıldığı üçüncü kişilere bildirilmesini isteme,</w:t>
      </w:r>
    </w:p>
    <w:p w:rsidR="00FC0F37" w:rsidRPr="003220E3" w:rsidRDefault="00FC0F37" w:rsidP="00FC0F37">
      <w:pPr>
        <w:pStyle w:val="ListeParagraf"/>
        <w:numPr>
          <w:ilvl w:val="0"/>
          <w:numId w:val="19"/>
        </w:numPr>
        <w:tabs>
          <w:tab w:val="left" w:pos="1217"/>
          <w:tab w:val="left" w:pos="1560"/>
        </w:tabs>
        <w:spacing w:line="360" w:lineRule="auto"/>
        <w:ind w:left="1560" w:hanging="142"/>
        <w:jc w:val="both"/>
        <w:rPr>
          <w:rFonts w:ascii="Times New Roman" w:hAnsi="Times New Roman" w:cs="Times New Roman"/>
          <w:sz w:val="24"/>
          <w:szCs w:val="24"/>
        </w:rPr>
      </w:pPr>
      <w:r w:rsidRPr="003220E3">
        <w:rPr>
          <w:rFonts w:ascii="Times New Roman" w:hAnsi="Times New Roman" w:cs="Times New Roman"/>
          <w:sz w:val="24"/>
          <w:szCs w:val="24"/>
        </w:rPr>
        <w:t>İşlenen verilerinin münhasıran otomatik sistemler vasıtasıyla analiz edilmesi suretiyle kişinin kendisi aleyhine bir sonucun ortaya çıkmasına itiraz etme,</w:t>
      </w:r>
    </w:p>
    <w:p w:rsidR="00FC0F37" w:rsidRPr="003220E3" w:rsidRDefault="00FC0F37" w:rsidP="00FC0F37">
      <w:pPr>
        <w:pStyle w:val="ListeParagraf"/>
        <w:numPr>
          <w:ilvl w:val="0"/>
          <w:numId w:val="19"/>
        </w:numPr>
        <w:tabs>
          <w:tab w:val="left" w:pos="1217"/>
          <w:tab w:val="left" w:pos="1560"/>
        </w:tabs>
        <w:spacing w:line="360" w:lineRule="auto"/>
        <w:ind w:left="1560" w:hanging="142"/>
        <w:jc w:val="both"/>
        <w:rPr>
          <w:rFonts w:ascii="Times New Roman" w:hAnsi="Times New Roman" w:cs="Times New Roman"/>
          <w:sz w:val="24"/>
          <w:szCs w:val="24"/>
        </w:rPr>
      </w:pPr>
      <w:r w:rsidRPr="003220E3">
        <w:rPr>
          <w:rFonts w:ascii="Times New Roman" w:hAnsi="Times New Roman" w:cs="Times New Roman"/>
          <w:sz w:val="24"/>
          <w:szCs w:val="24"/>
        </w:rPr>
        <w:lastRenderedPageBreak/>
        <w:t>Kişisel verilerinin kanuna aykırı olarak işlenmesi sebebiyle zarara uğraması hâlinde zararın giderilmesini talep etme.</w:t>
      </w:r>
    </w:p>
    <w:p w:rsidR="00FC0F37" w:rsidRDefault="00FC0F37" w:rsidP="00FC0F37">
      <w:pPr>
        <w:pStyle w:val="ListeParagraf"/>
        <w:numPr>
          <w:ilvl w:val="0"/>
          <w:numId w:val="19"/>
        </w:numPr>
        <w:tabs>
          <w:tab w:val="left" w:pos="1217"/>
          <w:tab w:val="left" w:pos="1560"/>
        </w:tabs>
        <w:spacing w:line="360" w:lineRule="auto"/>
        <w:ind w:left="1560" w:hanging="142"/>
        <w:jc w:val="both"/>
        <w:rPr>
          <w:rFonts w:ascii="Times New Roman" w:hAnsi="Times New Roman" w:cs="Times New Roman"/>
          <w:sz w:val="24"/>
          <w:szCs w:val="24"/>
        </w:rPr>
      </w:pPr>
      <w:r w:rsidRPr="003220E3">
        <w:rPr>
          <w:rFonts w:ascii="Times New Roman" w:hAnsi="Times New Roman" w:cs="Times New Roman"/>
          <w:sz w:val="24"/>
          <w:szCs w:val="24"/>
        </w:rPr>
        <w:t xml:space="preserve">İlgili kişiler, </w:t>
      </w:r>
      <w:proofErr w:type="spellStart"/>
      <w:r w:rsidRPr="003220E3">
        <w:rPr>
          <w:rFonts w:ascii="Times New Roman" w:hAnsi="Times New Roman" w:cs="Times New Roman"/>
          <w:sz w:val="24"/>
          <w:szCs w:val="24"/>
        </w:rPr>
        <w:t>SDÜ’nin</w:t>
      </w:r>
      <w:proofErr w:type="spellEnd"/>
      <w:r w:rsidRPr="003220E3">
        <w:rPr>
          <w:rFonts w:ascii="Times New Roman" w:hAnsi="Times New Roman" w:cs="Times New Roman"/>
          <w:sz w:val="24"/>
          <w:szCs w:val="24"/>
        </w:rPr>
        <w:t xml:space="preserve"> aydınlatma metinlerinde belirlenen usulde yukarıda sayılan hakları konusunda başvuruda bulunabilirler. İrtibat kişisi belirlenen usule aykırı başvurularda, başvurunun bu yönü hakkında İlgili Kişiyi bilgilendirir, çözüm konusunda iyi niyet ve dürüstlük kuralları çerçevesinde İlgili Kişiyi yönlendirir.</w:t>
      </w:r>
    </w:p>
    <w:p w:rsidR="00FC0F37" w:rsidRPr="003220E3" w:rsidRDefault="00FC0F37" w:rsidP="00FC0F37">
      <w:pPr>
        <w:pStyle w:val="ListeParagraf"/>
        <w:tabs>
          <w:tab w:val="left" w:pos="1217"/>
          <w:tab w:val="left" w:pos="1560"/>
        </w:tabs>
        <w:spacing w:line="360" w:lineRule="auto"/>
        <w:ind w:left="1560"/>
        <w:jc w:val="both"/>
        <w:rPr>
          <w:rFonts w:ascii="Times New Roman" w:hAnsi="Times New Roman" w:cs="Times New Roman"/>
          <w:sz w:val="24"/>
          <w:szCs w:val="24"/>
        </w:rPr>
      </w:pPr>
    </w:p>
    <w:p w:rsidR="00FC0F37" w:rsidRPr="003220E3" w:rsidRDefault="00FC0F37" w:rsidP="00FC0F37">
      <w:pPr>
        <w:numPr>
          <w:ilvl w:val="0"/>
          <w:numId w:val="18"/>
        </w:numPr>
        <w:tabs>
          <w:tab w:val="left" w:pos="1217"/>
        </w:tabs>
        <w:spacing w:line="360" w:lineRule="auto"/>
        <w:jc w:val="both"/>
        <w:rPr>
          <w:rFonts w:eastAsia="NSimSun"/>
          <w:b/>
          <w:i/>
        </w:rPr>
      </w:pPr>
      <w:r w:rsidRPr="003220E3">
        <w:rPr>
          <w:rFonts w:eastAsia="NSimSun"/>
          <w:b/>
          <w:i/>
        </w:rPr>
        <w:t>Kişisel veri güvenliğine ilişkin idari ve teknik tedbirleri alma yükümlülüğü</w:t>
      </w:r>
    </w:p>
    <w:p w:rsidR="00FC0F37" w:rsidRPr="003220E3" w:rsidRDefault="00FC0F37" w:rsidP="00FC0F37">
      <w:pPr>
        <w:pStyle w:val="ListeParagraf"/>
        <w:numPr>
          <w:ilvl w:val="0"/>
          <w:numId w:val="19"/>
        </w:numPr>
        <w:tabs>
          <w:tab w:val="left" w:pos="1217"/>
          <w:tab w:val="left" w:pos="1701"/>
          <w:tab w:val="left" w:pos="1843"/>
        </w:tabs>
        <w:spacing w:line="360" w:lineRule="auto"/>
        <w:ind w:left="1560" w:hanging="142"/>
        <w:jc w:val="both"/>
        <w:rPr>
          <w:rFonts w:ascii="Times New Roman" w:hAnsi="Times New Roman" w:cs="Times New Roman"/>
          <w:sz w:val="24"/>
          <w:szCs w:val="24"/>
        </w:rPr>
      </w:pPr>
      <w:r w:rsidRPr="003220E3">
        <w:rPr>
          <w:rFonts w:ascii="Times New Roman" w:hAnsi="Times New Roman" w:cs="Times New Roman"/>
          <w:sz w:val="24"/>
          <w:szCs w:val="24"/>
        </w:rPr>
        <w:t>SDÜ, kişisel verilerin korunması mevzuatına uyumluluk için gereken çabayı sarf eder. SDÜ, bu konuda öncelikli olarak çalışanlarının kişisel verilerin korunması konusunda eğitilmesini sağlar.</w:t>
      </w:r>
    </w:p>
    <w:p w:rsidR="00FC0F37" w:rsidRDefault="00FC0F37" w:rsidP="00FC0F37">
      <w:pPr>
        <w:pStyle w:val="ListeParagraf"/>
        <w:numPr>
          <w:ilvl w:val="0"/>
          <w:numId w:val="19"/>
        </w:numPr>
        <w:tabs>
          <w:tab w:val="left" w:pos="1217"/>
          <w:tab w:val="left" w:pos="1560"/>
        </w:tabs>
        <w:spacing w:line="360" w:lineRule="auto"/>
        <w:ind w:left="1560" w:hanging="142"/>
        <w:jc w:val="both"/>
        <w:rPr>
          <w:rFonts w:ascii="Times New Roman" w:hAnsi="Times New Roman" w:cs="Times New Roman"/>
          <w:sz w:val="24"/>
          <w:szCs w:val="24"/>
        </w:rPr>
      </w:pPr>
      <w:r w:rsidRPr="003220E3">
        <w:rPr>
          <w:rFonts w:ascii="Times New Roman" w:hAnsi="Times New Roman" w:cs="Times New Roman"/>
          <w:sz w:val="24"/>
          <w:szCs w:val="24"/>
        </w:rPr>
        <w:t xml:space="preserve">SDÜ kullandıkları bilgi sistemlerinde güvenlik duvarı ve ağ geçidi kullanır. Buna ek olarak </w:t>
      </w:r>
      <w:proofErr w:type="spellStart"/>
      <w:r w:rsidRPr="003220E3">
        <w:rPr>
          <w:rFonts w:ascii="Times New Roman" w:hAnsi="Times New Roman" w:cs="Times New Roman"/>
          <w:sz w:val="24"/>
          <w:szCs w:val="24"/>
        </w:rPr>
        <w:t>antivirüs</w:t>
      </w:r>
      <w:proofErr w:type="spellEnd"/>
      <w:r w:rsidRPr="003220E3">
        <w:rPr>
          <w:rFonts w:ascii="Times New Roman" w:hAnsi="Times New Roman" w:cs="Times New Roman"/>
          <w:sz w:val="24"/>
          <w:szCs w:val="24"/>
        </w:rPr>
        <w:t xml:space="preserve"> ve </w:t>
      </w:r>
      <w:proofErr w:type="spellStart"/>
      <w:r w:rsidRPr="003220E3">
        <w:rPr>
          <w:rFonts w:ascii="Times New Roman" w:hAnsi="Times New Roman" w:cs="Times New Roman"/>
          <w:sz w:val="24"/>
          <w:szCs w:val="24"/>
        </w:rPr>
        <w:t>antispam</w:t>
      </w:r>
      <w:proofErr w:type="spellEnd"/>
      <w:r w:rsidRPr="003220E3">
        <w:rPr>
          <w:rFonts w:ascii="Times New Roman" w:hAnsi="Times New Roman" w:cs="Times New Roman"/>
          <w:sz w:val="24"/>
          <w:szCs w:val="24"/>
        </w:rPr>
        <w:t xml:space="preserve"> ürünlerinden istifade eder. Gerekli sistem yazılımlarının</w:t>
      </w:r>
      <w:r>
        <w:rPr>
          <w:rFonts w:ascii="Times New Roman" w:hAnsi="Times New Roman" w:cs="Times New Roman"/>
          <w:sz w:val="24"/>
          <w:szCs w:val="24"/>
        </w:rPr>
        <w:t xml:space="preserve"> </w:t>
      </w:r>
      <w:r w:rsidRPr="003220E3">
        <w:rPr>
          <w:rFonts w:ascii="Times New Roman" w:hAnsi="Times New Roman" w:cs="Times New Roman"/>
          <w:sz w:val="24"/>
          <w:szCs w:val="24"/>
        </w:rPr>
        <w:t>güncelliğini sağlar. Yazılımlarda yer alan güvenlik açıklarıyla ilgili geribildirimleri dikkate alır ve düzeltir. SDÜ kullandıkları yazılımlar aracılığıyla gerçekleştirilen veri işleme faaliyetlerine yetki kısıtlaması getirir.</w:t>
      </w:r>
    </w:p>
    <w:p w:rsidR="00FC0F37" w:rsidRPr="00FC0F37" w:rsidRDefault="00FC0F37" w:rsidP="00FC0F37">
      <w:pPr>
        <w:pStyle w:val="ListeParagraf"/>
        <w:tabs>
          <w:tab w:val="left" w:pos="1217"/>
          <w:tab w:val="left" w:pos="1560"/>
        </w:tabs>
        <w:spacing w:line="360" w:lineRule="auto"/>
        <w:ind w:left="1560"/>
        <w:jc w:val="both"/>
        <w:rPr>
          <w:rFonts w:ascii="Times New Roman" w:hAnsi="Times New Roman" w:cs="Times New Roman"/>
          <w:sz w:val="24"/>
          <w:szCs w:val="24"/>
        </w:rPr>
      </w:pPr>
    </w:p>
    <w:p w:rsidR="00DE0A65" w:rsidRDefault="00DE0A65" w:rsidP="00DE0A65">
      <w:pPr>
        <w:numPr>
          <w:ilvl w:val="0"/>
          <w:numId w:val="13"/>
        </w:numPr>
        <w:spacing w:after="160" w:line="276" w:lineRule="auto"/>
        <w:jc w:val="both"/>
        <w:rPr>
          <w:b/>
        </w:rPr>
      </w:pPr>
      <w:r>
        <w:rPr>
          <w:b/>
        </w:rPr>
        <w:t>İLGİLİ DOKÜMANLAR</w:t>
      </w:r>
    </w:p>
    <w:p w:rsidR="00FC0F37" w:rsidRDefault="004600F2" w:rsidP="003C29FB">
      <w:pPr>
        <w:numPr>
          <w:ilvl w:val="0"/>
          <w:numId w:val="14"/>
        </w:numPr>
        <w:spacing w:after="160" w:line="276" w:lineRule="auto"/>
        <w:jc w:val="both"/>
        <w:rPr>
          <w:b/>
        </w:rPr>
      </w:pPr>
      <w:r>
        <w:rPr>
          <w:b/>
        </w:rPr>
        <w:t>Kişisel Veri Envanter Listesi</w:t>
      </w:r>
    </w:p>
    <w:p w:rsidR="00FC0F37" w:rsidRDefault="00FC0F37" w:rsidP="00FC0F37">
      <w:pPr>
        <w:spacing w:after="160" w:line="276" w:lineRule="auto"/>
        <w:jc w:val="both"/>
        <w:rPr>
          <w:b/>
        </w:rPr>
      </w:pPr>
    </w:p>
    <w:p w:rsidR="00DE0A65" w:rsidRPr="00FC0F37" w:rsidRDefault="00DE0A65" w:rsidP="00FC0F37">
      <w:pPr>
        <w:spacing w:after="160" w:line="276" w:lineRule="auto"/>
        <w:jc w:val="both"/>
        <w:rPr>
          <w:b/>
        </w:rPr>
      </w:pPr>
      <w:r w:rsidRPr="00FC0F37">
        <w:rPr>
          <w:b/>
        </w:rPr>
        <w:t>7.REVİZYON TAKİP TABLOSU</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53"/>
        <w:gridCol w:w="1882"/>
        <w:gridCol w:w="5581"/>
      </w:tblGrid>
      <w:tr w:rsidR="00DE0A65" w:rsidTr="008425A3">
        <w:trPr>
          <w:trHeight w:val="154"/>
          <w:jc w:val="center"/>
        </w:trPr>
        <w:tc>
          <w:tcPr>
            <w:tcW w:w="2253" w:type="dxa"/>
            <w:tcBorders>
              <w:top w:val="single" w:sz="4" w:space="0" w:color="auto"/>
              <w:left w:val="single" w:sz="4" w:space="0" w:color="auto"/>
              <w:bottom w:val="single" w:sz="4" w:space="0" w:color="auto"/>
              <w:right w:val="single" w:sz="4" w:space="0" w:color="auto"/>
            </w:tcBorders>
            <w:vAlign w:val="center"/>
            <w:hideMark/>
          </w:tcPr>
          <w:p w:rsidR="00DE0A65" w:rsidRDefault="00DE0A65" w:rsidP="00FD3E66">
            <w:pPr>
              <w:spacing w:after="160" w:line="276" w:lineRule="auto"/>
              <w:rPr>
                <w:b/>
              </w:rPr>
            </w:pPr>
            <w:r>
              <w:rPr>
                <w:b/>
              </w:rPr>
              <w:t xml:space="preserve">REVİZYON NO     </w:t>
            </w:r>
          </w:p>
        </w:tc>
        <w:tc>
          <w:tcPr>
            <w:tcW w:w="1882" w:type="dxa"/>
            <w:tcBorders>
              <w:top w:val="single" w:sz="4" w:space="0" w:color="auto"/>
              <w:left w:val="single" w:sz="4" w:space="0" w:color="auto"/>
              <w:bottom w:val="single" w:sz="4" w:space="0" w:color="auto"/>
              <w:right w:val="single" w:sz="4" w:space="0" w:color="auto"/>
            </w:tcBorders>
            <w:vAlign w:val="center"/>
            <w:hideMark/>
          </w:tcPr>
          <w:p w:rsidR="00DE0A65" w:rsidRDefault="00DE0A65" w:rsidP="00FD3E66">
            <w:pPr>
              <w:spacing w:after="160" w:line="276" w:lineRule="auto"/>
              <w:rPr>
                <w:b/>
              </w:rPr>
            </w:pPr>
            <w:r>
              <w:rPr>
                <w:b/>
              </w:rPr>
              <w:t>TARİH</w:t>
            </w:r>
          </w:p>
        </w:tc>
        <w:tc>
          <w:tcPr>
            <w:tcW w:w="5581" w:type="dxa"/>
            <w:tcBorders>
              <w:top w:val="single" w:sz="4" w:space="0" w:color="auto"/>
              <w:left w:val="single" w:sz="4" w:space="0" w:color="auto"/>
              <w:bottom w:val="single" w:sz="4" w:space="0" w:color="auto"/>
              <w:right w:val="single" w:sz="4" w:space="0" w:color="auto"/>
            </w:tcBorders>
            <w:vAlign w:val="center"/>
            <w:hideMark/>
          </w:tcPr>
          <w:p w:rsidR="00DE0A65" w:rsidRDefault="00DE0A65" w:rsidP="00FD3E66">
            <w:pPr>
              <w:spacing w:after="160" w:line="276" w:lineRule="auto"/>
              <w:rPr>
                <w:b/>
              </w:rPr>
            </w:pPr>
            <w:r>
              <w:rPr>
                <w:b/>
              </w:rPr>
              <w:t>AÇIKLAMA</w:t>
            </w:r>
          </w:p>
        </w:tc>
      </w:tr>
      <w:tr w:rsidR="00DE0A65" w:rsidTr="008425A3">
        <w:trPr>
          <w:trHeight w:val="154"/>
          <w:jc w:val="center"/>
        </w:trPr>
        <w:tc>
          <w:tcPr>
            <w:tcW w:w="2253" w:type="dxa"/>
            <w:tcBorders>
              <w:top w:val="single" w:sz="4" w:space="0" w:color="auto"/>
              <w:left w:val="single" w:sz="4" w:space="0" w:color="auto"/>
              <w:bottom w:val="single" w:sz="4" w:space="0" w:color="auto"/>
              <w:right w:val="single" w:sz="4" w:space="0" w:color="auto"/>
            </w:tcBorders>
            <w:vAlign w:val="center"/>
            <w:hideMark/>
          </w:tcPr>
          <w:p w:rsidR="00DE0A65" w:rsidRDefault="00DE0A65" w:rsidP="00FD3E66">
            <w:pPr>
              <w:spacing w:after="160" w:line="276" w:lineRule="auto"/>
            </w:pPr>
            <w:r>
              <w:t>00</w:t>
            </w:r>
            <w:r w:rsidR="008425A3">
              <w:t>0</w:t>
            </w:r>
          </w:p>
        </w:tc>
        <w:tc>
          <w:tcPr>
            <w:tcW w:w="1882" w:type="dxa"/>
            <w:tcBorders>
              <w:top w:val="single" w:sz="4" w:space="0" w:color="auto"/>
              <w:left w:val="single" w:sz="4" w:space="0" w:color="auto"/>
              <w:bottom w:val="single" w:sz="4" w:space="0" w:color="auto"/>
              <w:right w:val="single" w:sz="4" w:space="0" w:color="auto"/>
            </w:tcBorders>
            <w:vAlign w:val="center"/>
            <w:hideMark/>
          </w:tcPr>
          <w:p w:rsidR="00DE0A65" w:rsidRDefault="008425A3" w:rsidP="00FD3E66">
            <w:pPr>
              <w:spacing w:after="160" w:line="276" w:lineRule="auto"/>
            </w:pPr>
            <w:r>
              <w:t>06.12.2024</w:t>
            </w:r>
          </w:p>
        </w:tc>
        <w:tc>
          <w:tcPr>
            <w:tcW w:w="5581" w:type="dxa"/>
            <w:tcBorders>
              <w:top w:val="single" w:sz="4" w:space="0" w:color="auto"/>
              <w:left w:val="single" w:sz="4" w:space="0" w:color="auto"/>
              <w:bottom w:val="single" w:sz="4" w:space="0" w:color="auto"/>
              <w:right w:val="single" w:sz="4" w:space="0" w:color="auto"/>
            </w:tcBorders>
            <w:vAlign w:val="center"/>
            <w:hideMark/>
          </w:tcPr>
          <w:p w:rsidR="00DE0A65" w:rsidRDefault="00DE0A65" w:rsidP="00FD3E66">
            <w:pPr>
              <w:spacing w:after="160" w:line="276" w:lineRule="auto"/>
            </w:pPr>
            <w:r>
              <w:t>İlk yayın.</w:t>
            </w:r>
          </w:p>
        </w:tc>
      </w:tr>
      <w:tr w:rsidR="00DE0A65" w:rsidTr="008425A3">
        <w:trPr>
          <w:trHeight w:val="154"/>
          <w:jc w:val="center"/>
        </w:trPr>
        <w:tc>
          <w:tcPr>
            <w:tcW w:w="2253" w:type="dxa"/>
            <w:tcBorders>
              <w:top w:val="single" w:sz="4" w:space="0" w:color="auto"/>
              <w:left w:val="single" w:sz="4" w:space="0" w:color="auto"/>
              <w:bottom w:val="single" w:sz="4" w:space="0" w:color="auto"/>
              <w:right w:val="single" w:sz="4" w:space="0" w:color="auto"/>
            </w:tcBorders>
            <w:vAlign w:val="center"/>
          </w:tcPr>
          <w:p w:rsidR="00DE0A65" w:rsidRDefault="00DE0A65" w:rsidP="00FD3E66">
            <w:pPr>
              <w:spacing w:after="160" w:line="276" w:lineRule="auto"/>
            </w:pPr>
          </w:p>
        </w:tc>
        <w:tc>
          <w:tcPr>
            <w:tcW w:w="1882" w:type="dxa"/>
            <w:tcBorders>
              <w:top w:val="single" w:sz="4" w:space="0" w:color="auto"/>
              <w:left w:val="single" w:sz="4" w:space="0" w:color="auto"/>
              <w:bottom w:val="single" w:sz="4" w:space="0" w:color="auto"/>
              <w:right w:val="single" w:sz="4" w:space="0" w:color="auto"/>
            </w:tcBorders>
            <w:vAlign w:val="center"/>
          </w:tcPr>
          <w:p w:rsidR="00DE0A65" w:rsidRDefault="00DE0A65" w:rsidP="00FD3E66">
            <w:pPr>
              <w:spacing w:after="160" w:line="276" w:lineRule="auto"/>
            </w:pPr>
          </w:p>
        </w:tc>
        <w:tc>
          <w:tcPr>
            <w:tcW w:w="5581" w:type="dxa"/>
            <w:tcBorders>
              <w:top w:val="single" w:sz="4" w:space="0" w:color="auto"/>
              <w:left w:val="single" w:sz="4" w:space="0" w:color="auto"/>
              <w:bottom w:val="single" w:sz="4" w:space="0" w:color="auto"/>
              <w:right w:val="single" w:sz="4" w:space="0" w:color="auto"/>
            </w:tcBorders>
            <w:shd w:val="clear" w:color="auto" w:fill="auto"/>
            <w:vAlign w:val="center"/>
          </w:tcPr>
          <w:p w:rsidR="00DE0A65" w:rsidRDefault="00DE0A65" w:rsidP="00FD3E66">
            <w:pPr>
              <w:spacing w:after="160"/>
            </w:pPr>
          </w:p>
        </w:tc>
      </w:tr>
    </w:tbl>
    <w:p w:rsidR="001D6C4B" w:rsidRPr="00D201B5" w:rsidRDefault="001D6C4B" w:rsidP="00D201B5"/>
    <w:sectPr w:rsidR="001D6C4B" w:rsidRPr="00D201B5" w:rsidSect="008425A3">
      <w:headerReference w:type="default" r:id="rId8"/>
      <w:footerReference w:type="even" r:id="rId9"/>
      <w:footerReference w:type="default" r:id="rId10"/>
      <w:pgSz w:w="11906" w:h="16838" w:code="9"/>
      <w:pgMar w:top="1134" w:right="1134" w:bottom="1134" w:left="1134" w:header="227" w:footer="22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D59" w:rsidRDefault="00F22D59" w:rsidP="003F4DE1">
      <w:r>
        <w:separator/>
      </w:r>
    </w:p>
  </w:endnote>
  <w:endnote w:type="continuationSeparator" w:id="0">
    <w:p w:rsidR="00F22D59" w:rsidRDefault="00F22D59"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rsidR="001D6C4B" w:rsidRDefault="001D6C4B" w:rsidP="001D6C4B">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1D6C4B" w:rsidRDefault="001D6C4B" w:rsidP="00951C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4" w:type="dxa"/>
      <w:jc w:val="center"/>
      <w:tblLook w:val="04A0" w:firstRow="1" w:lastRow="0" w:firstColumn="1" w:lastColumn="0" w:noHBand="0" w:noVBand="1"/>
    </w:tblPr>
    <w:tblGrid>
      <w:gridCol w:w="3256"/>
      <w:gridCol w:w="3260"/>
      <w:gridCol w:w="3118"/>
    </w:tblGrid>
    <w:tr w:rsidR="001D6C4B" w:rsidTr="0024534C">
      <w:trPr>
        <w:jc w:val="center"/>
      </w:trPr>
      <w:tc>
        <w:tcPr>
          <w:tcW w:w="3256" w:type="dxa"/>
          <w:vAlign w:val="center"/>
        </w:tcPr>
        <w:p w:rsidR="001D6C4B" w:rsidRDefault="001D6C4B" w:rsidP="00C34DA1">
          <w:pPr>
            <w:pStyle w:val="AltBilgi"/>
            <w:ind w:right="360"/>
            <w:jc w:val="center"/>
          </w:pPr>
          <w:r>
            <w:t>Hazırlayan</w:t>
          </w:r>
        </w:p>
      </w:tc>
      <w:tc>
        <w:tcPr>
          <w:tcW w:w="3260" w:type="dxa"/>
          <w:vAlign w:val="center"/>
        </w:tcPr>
        <w:p w:rsidR="001D6C4B" w:rsidRDefault="001D6C4B" w:rsidP="00C34DA1">
          <w:pPr>
            <w:pStyle w:val="AltBilgi"/>
            <w:jc w:val="center"/>
          </w:pPr>
          <w:r>
            <w:t>Kontrol</w:t>
          </w:r>
        </w:p>
      </w:tc>
      <w:tc>
        <w:tcPr>
          <w:tcW w:w="3118" w:type="dxa"/>
          <w:vAlign w:val="center"/>
        </w:tcPr>
        <w:p w:rsidR="001D6C4B" w:rsidRDefault="001D6C4B" w:rsidP="00C34DA1">
          <w:pPr>
            <w:pStyle w:val="AltBilgi"/>
            <w:jc w:val="center"/>
          </w:pPr>
          <w:r>
            <w:t>Onay</w:t>
          </w:r>
        </w:p>
      </w:tc>
    </w:tr>
    <w:tr w:rsidR="00D034C0" w:rsidTr="0024534C">
      <w:trPr>
        <w:trHeight w:val="690"/>
        <w:jc w:val="center"/>
      </w:trPr>
      <w:tc>
        <w:tcPr>
          <w:tcW w:w="3256" w:type="dxa"/>
          <w:vAlign w:val="center"/>
        </w:tcPr>
        <w:p w:rsidR="00D034C0" w:rsidRDefault="00D034C0" w:rsidP="00D034C0">
          <w:pPr>
            <w:pStyle w:val="AltBilgi"/>
            <w:jc w:val="center"/>
          </w:pPr>
          <w:r>
            <w:t>Sürekli İşçi - Merve GÜNEŞ</w:t>
          </w:r>
        </w:p>
      </w:tc>
      <w:tc>
        <w:tcPr>
          <w:tcW w:w="3260" w:type="dxa"/>
          <w:vAlign w:val="center"/>
        </w:tcPr>
        <w:p w:rsidR="00D034C0" w:rsidRDefault="00D034C0" w:rsidP="00D034C0">
          <w:pPr>
            <w:pStyle w:val="AltBilgi"/>
            <w:jc w:val="center"/>
          </w:pPr>
          <w:r>
            <w:t>Şube Müdürü - Zekai KÜNAR</w:t>
          </w:r>
        </w:p>
      </w:tc>
      <w:tc>
        <w:tcPr>
          <w:tcW w:w="3118" w:type="dxa"/>
          <w:vAlign w:val="center"/>
        </w:tcPr>
        <w:p w:rsidR="00D034C0" w:rsidRDefault="00D034C0" w:rsidP="00D034C0">
          <w:pPr>
            <w:pStyle w:val="AltBilgi"/>
            <w:jc w:val="center"/>
          </w:pPr>
          <w:r>
            <w:t>Doktor Öğretim Üyesi - Veli ÇAPALI</w:t>
          </w:r>
        </w:p>
      </w:tc>
    </w:tr>
  </w:tbl>
  <w:p w:rsidR="001D6C4B" w:rsidRPr="00840D9F" w:rsidRDefault="001D6C4B" w:rsidP="00951CD0">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D59" w:rsidRDefault="00F22D59" w:rsidP="003F4DE1">
      <w:r>
        <w:separator/>
      </w:r>
    </w:p>
  </w:footnote>
  <w:footnote w:type="continuationSeparator" w:id="0">
    <w:p w:rsidR="00F22D59" w:rsidRDefault="00F22D59" w:rsidP="003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4" w:type="dxa"/>
      <w:jc w:val="center"/>
      <w:tblLook w:val="04A0" w:firstRow="1" w:lastRow="0" w:firstColumn="1" w:lastColumn="0" w:noHBand="0" w:noVBand="1"/>
    </w:tblPr>
    <w:tblGrid>
      <w:gridCol w:w="2016"/>
      <w:gridCol w:w="4956"/>
      <w:gridCol w:w="1486"/>
      <w:gridCol w:w="1176"/>
    </w:tblGrid>
    <w:tr w:rsidR="008425A3" w:rsidTr="008425A3">
      <w:trPr>
        <w:trHeight w:val="332"/>
        <w:jc w:val="center"/>
      </w:trPr>
      <w:tc>
        <w:tcPr>
          <w:tcW w:w="2016" w:type="dxa"/>
          <w:vMerge w:val="restart"/>
          <w:vAlign w:val="center"/>
        </w:tcPr>
        <w:p w:rsidR="008425A3" w:rsidRPr="00822E7B" w:rsidRDefault="008425A3" w:rsidP="008425A3">
          <w:pPr>
            <w:pStyle w:val="stBilgi"/>
            <w:jc w:val="center"/>
            <w:rPr>
              <w:sz w:val="20"/>
              <w:szCs w:val="20"/>
            </w:rPr>
          </w:pPr>
          <w:r>
            <w:rPr>
              <w:noProof/>
              <w:sz w:val="20"/>
              <w:szCs w:val="20"/>
            </w:rPr>
            <w:drawing>
              <wp:inline distT="0" distB="0" distL="0" distR="0" wp14:anchorId="1CF03BF4" wp14:editId="4738C7A6">
                <wp:extent cx="1133475" cy="1133475"/>
                <wp:effectExtent l="0" t="0" r="9525" b="9525"/>
                <wp:docPr id="1" name="Resim 1" descr="sdu-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u-logo-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4956" w:type="dxa"/>
          <w:vMerge w:val="restart"/>
          <w:vAlign w:val="center"/>
        </w:tcPr>
        <w:p w:rsidR="008425A3" w:rsidRPr="00051F41" w:rsidRDefault="008425A3" w:rsidP="008425A3">
          <w:pPr>
            <w:pStyle w:val="stBilgi"/>
            <w:jc w:val="center"/>
            <w:rPr>
              <w:b/>
              <w:szCs w:val="20"/>
            </w:rPr>
          </w:pPr>
          <w:r>
            <w:rPr>
              <w:b/>
              <w:szCs w:val="20"/>
            </w:rPr>
            <w:t>SÜLEYMAN DEMİREL ÜNİVERSİTESİ</w:t>
          </w:r>
        </w:p>
        <w:p w:rsidR="008425A3" w:rsidRPr="00051F41" w:rsidRDefault="008425A3" w:rsidP="008425A3">
          <w:pPr>
            <w:pStyle w:val="stBilgi"/>
            <w:jc w:val="center"/>
            <w:rPr>
              <w:b/>
              <w:szCs w:val="20"/>
            </w:rPr>
          </w:pPr>
        </w:p>
        <w:p w:rsidR="008425A3" w:rsidRPr="00822E7B" w:rsidRDefault="008425A3" w:rsidP="008425A3">
          <w:pPr>
            <w:pStyle w:val="stBilgi"/>
            <w:jc w:val="center"/>
            <w:rPr>
              <w:b/>
              <w:sz w:val="20"/>
              <w:szCs w:val="20"/>
            </w:rPr>
          </w:pPr>
          <w:r>
            <w:rPr>
              <w:b/>
              <w:sz w:val="22"/>
            </w:rPr>
            <w:t>Kişisel Verilerin Korunması Prosedürü</w:t>
          </w:r>
        </w:p>
      </w:tc>
      <w:tc>
        <w:tcPr>
          <w:tcW w:w="1486" w:type="dxa"/>
          <w:vAlign w:val="center"/>
        </w:tcPr>
        <w:p w:rsidR="008425A3" w:rsidRPr="00051F41" w:rsidRDefault="008425A3" w:rsidP="008425A3">
          <w:pPr>
            <w:pStyle w:val="stBilgi"/>
            <w:rPr>
              <w:color w:val="000000" w:themeColor="text1"/>
              <w:sz w:val="18"/>
              <w:szCs w:val="18"/>
            </w:rPr>
          </w:pPr>
          <w:r w:rsidRPr="00051F41">
            <w:rPr>
              <w:color w:val="000000" w:themeColor="text1"/>
              <w:sz w:val="18"/>
              <w:szCs w:val="18"/>
            </w:rPr>
            <w:t>Doküman No</w:t>
          </w:r>
        </w:p>
      </w:tc>
      <w:tc>
        <w:tcPr>
          <w:tcW w:w="1176" w:type="dxa"/>
          <w:vAlign w:val="center"/>
        </w:tcPr>
        <w:p w:rsidR="008425A3" w:rsidRPr="004272E5" w:rsidRDefault="008425A3" w:rsidP="008425A3">
          <w:pPr>
            <w:pStyle w:val="stBilgi"/>
            <w:jc w:val="center"/>
            <w:rPr>
              <w:sz w:val="22"/>
            </w:rPr>
          </w:pPr>
          <w:r>
            <w:rPr>
              <w:sz w:val="22"/>
            </w:rPr>
            <w:t>PR-032</w:t>
          </w:r>
        </w:p>
      </w:tc>
    </w:tr>
    <w:tr w:rsidR="008425A3" w:rsidTr="008425A3">
      <w:trPr>
        <w:trHeight w:val="332"/>
        <w:jc w:val="center"/>
      </w:trPr>
      <w:tc>
        <w:tcPr>
          <w:tcW w:w="2016" w:type="dxa"/>
          <w:vMerge/>
          <w:vAlign w:val="center"/>
        </w:tcPr>
        <w:p w:rsidR="008425A3" w:rsidRPr="00822E7B" w:rsidRDefault="008425A3" w:rsidP="008425A3">
          <w:pPr>
            <w:pStyle w:val="stBilgi"/>
            <w:jc w:val="center"/>
            <w:rPr>
              <w:sz w:val="20"/>
              <w:szCs w:val="20"/>
            </w:rPr>
          </w:pPr>
        </w:p>
      </w:tc>
      <w:tc>
        <w:tcPr>
          <w:tcW w:w="4956" w:type="dxa"/>
          <w:vMerge/>
          <w:vAlign w:val="center"/>
        </w:tcPr>
        <w:p w:rsidR="008425A3" w:rsidRPr="00822E7B" w:rsidRDefault="008425A3" w:rsidP="008425A3">
          <w:pPr>
            <w:pStyle w:val="stBilgi"/>
            <w:jc w:val="center"/>
            <w:rPr>
              <w:b/>
              <w:sz w:val="20"/>
              <w:szCs w:val="20"/>
            </w:rPr>
          </w:pPr>
        </w:p>
      </w:tc>
      <w:tc>
        <w:tcPr>
          <w:tcW w:w="1486" w:type="dxa"/>
          <w:vAlign w:val="center"/>
        </w:tcPr>
        <w:p w:rsidR="008425A3" w:rsidRPr="00051F41" w:rsidRDefault="008425A3" w:rsidP="008425A3">
          <w:pPr>
            <w:pStyle w:val="stBilgi"/>
            <w:rPr>
              <w:color w:val="000000" w:themeColor="text1"/>
              <w:sz w:val="18"/>
              <w:szCs w:val="18"/>
            </w:rPr>
          </w:pPr>
          <w:r w:rsidRPr="00051F41">
            <w:rPr>
              <w:color w:val="000000" w:themeColor="text1"/>
              <w:sz w:val="18"/>
              <w:szCs w:val="18"/>
            </w:rPr>
            <w:t>İlk Yayın Tarihi</w:t>
          </w:r>
        </w:p>
      </w:tc>
      <w:tc>
        <w:tcPr>
          <w:tcW w:w="1176" w:type="dxa"/>
          <w:vAlign w:val="center"/>
        </w:tcPr>
        <w:p w:rsidR="008425A3" w:rsidRPr="004272E5" w:rsidRDefault="008425A3" w:rsidP="008425A3">
          <w:pPr>
            <w:pStyle w:val="stBilgi"/>
            <w:jc w:val="center"/>
            <w:rPr>
              <w:sz w:val="22"/>
            </w:rPr>
          </w:pPr>
          <w:r>
            <w:rPr>
              <w:sz w:val="22"/>
            </w:rPr>
            <w:t>6.12.2024</w:t>
          </w:r>
        </w:p>
      </w:tc>
    </w:tr>
    <w:tr w:rsidR="008425A3" w:rsidTr="008425A3">
      <w:trPr>
        <w:trHeight w:val="332"/>
        <w:jc w:val="center"/>
      </w:trPr>
      <w:tc>
        <w:tcPr>
          <w:tcW w:w="2016" w:type="dxa"/>
          <w:vMerge/>
          <w:vAlign w:val="center"/>
        </w:tcPr>
        <w:p w:rsidR="008425A3" w:rsidRPr="00822E7B" w:rsidRDefault="008425A3" w:rsidP="008425A3">
          <w:pPr>
            <w:pStyle w:val="stBilgi"/>
            <w:jc w:val="center"/>
            <w:rPr>
              <w:sz w:val="20"/>
              <w:szCs w:val="20"/>
            </w:rPr>
          </w:pPr>
        </w:p>
      </w:tc>
      <w:tc>
        <w:tcPr>
          <w:tcW w:w="4956" w:type="dxa"/>
          <w:vMerge/>
          <w:vAlign w:val="center"/>
        </w:tcPr>
        <w:p w:rsidR="008425A3" w:rsidRPr="00822E7B" w:rsidRDefault="008425A3" w:rsidP="008425A3">
          <w:pPr>
            <w:pStyle w:val="stBilgi"/>
            <w:jc w:val="center"/>
            <w:rPr>
              <w:b/>
              <w:sz w:val="20"/>
              <w:szCs w:val="20"/>
            </w:rPr>
          </w:pPr>
        </w:p>
      </w:tc>
      <w:tc>
        <w:tcPr>
          <w:tcW w:w="1486" w:type="dxa"/>
          <w:vAlign w:val="center"/>
        </w:tcPr>
        <w:p w:rsidR="008425A3" w:rsidRPr="00051F41" w:rsidRDefault="008425A3" w:rsidP="008425A3">
          <w:pPr>
            <w:pStyle w:val="stBilgi"/>
            <w:rPr>
              <w:color w:val="000000" w:themeColor="text1"/>
              <w:sz w:val="18"/>
              <w:szCs w:val="18"/>
            </w:rPr>
          </w:pPr>
          <w:r w:rsidRPr="00051F41">
            <w:rPr>
              <w:color w:val="000000" w:themeColor="text1"/>
              <w:sz w:val="18"/>
              <w:szCs w:val="18"/>
            </w:rPr>
            <w:t>Revizyon Tarihi</w:t>
          </w:r>
        </w:p>
      </w:tc>
      <w:tc>
        <w:tcPr>
          <w:tcW w:w="1176" w:type="dxa"/>
          <w:vAlign w:val="center"/>
        </w:tcPr>
        <w:p w:rsidR="008425A3" w:rsidRPr="004272E5" w:rsidRDefault="008425A3" w:rsidP="008425A3">
          <w:pPr>
            <w:pStyle w:val="stBilgi"/>
            <w:jc w:val="center"/>
            <w:rPr>
              <w:sz w:val="22"/>
            </w:rPr>
          </w:pPr>
          <w:r>
            <w:rPr>
              <w:sz w:val="22"/>
            </w:rPr>
            <w:t>6.12.2024</w:t>
          </w:r>
        </w:p>
      </w:tc>
    </w:tr>
    <w:tr w:rsidR="008425A3" w:rsidTr="008425A3">
      <w:trPr>
        <w:trHeight w:val="332"/>
        <w:jc w:val="center"/>
      </w:trPr>
      <w:tc>
        <w:tcPr>
          <w:tcW w:w="2016" w:type="dxa"/>
          <w:vMerge/>
          <w:vAlign w:val="center"/>
        </w:tcPr>
        <w:p w:rsidR="008425A3" w:rsidRPr="00822E7B" w:rsidRDefault="008425A3" w:rsidP="008425A3">
          <w:pPr>
            <w:pStyle w:val="stBilgi"/>
            <w:jc w:val="center"/>
            <w:rPr>
              <w:sz w:val="20"/>
              <w:szCs w:val="20"/>
            </w:rPr>
          </w:pPr>
        </w:p>
      </w:tc>
      <w:tc>
        <w:tcPr>
          <w:tcW w:w="4956" w:type="dxa"/>
          <w:vMerge/>
          <w:vAlign w:val="center"/>
        </w:tcPr>
        <w:p w:rsidR="008425A3" w:rsidRPr="00822E7B" w:rsidRDefault="008425A3" w:rsidP="008425A3">
          <w:pPr>
            <w:pStyle w:val="stBilgi"/>
            <w:jc w:val="center"/>
            <w:rPr>
              <w:b/>
              <w:sz w:val="20"/>
              <w:szCs w:val="20"/>
            </w:rPr>
          </w:pPr>
        </w:p>
      </w:tc>
      <w:tc>
        <w:tcPr>
          <w:tcW w:w="1486" w:type="dxa"/>
          <w:vAlign w:val="center"/>
        </w:tcPr>
        <w:p w:rsidR="008425A3" w:rsidRPr="00051F41" w:rsidRDefault="008425A3" w:rsidP="008425A3">
          <w:pPr>
            <w:pStyle w:val="stBilgi"/>
            <w:rPr>
              <w:color w:val="000000" w:themeColor="text1"/>
              <w:sz w:val="18"/>
              <w:szCs w:val="18"/>
            </w:rPr>
          </w:pPr>
          <w:r w:rsidRPr="00051F41">
            <w:rPr>
              <w:color w:val="000000" w:themeColor="text1"/>
              <w:sz w:val="18"/>
              <w:szCs w:val="18"/>
            </w:rPr>
            <w:t>Revizyon No</w:t>
          </w:r>
        </w:p>
      </w:tc>
      <w:tc>
        <w:tcPr>
          <w:tcW w:w="1176" w:type="dxa"/>
          <w:vAlign w:val="center"/>
        </w:tcPr>
        <w:p w:rsidR="008425A3" w:rsidRDefault="008425A3" w:rsidP="008425A3">
          <w:pPr>
            <w:pStyle w:val="stBilgi"/>
            <w:jc w:val="center"/>
            <w:rPr>
              <w:sz w:val="22"/>
            </w:rPr>
          </w:pPr>
          <w:r>
            <w:rPr>
              <w:sz w:val="22"/>
            </w:rPr>
            <w:t>000</w:t>
          </w:r>
        </w:p>
      </w:tc>
    </w:tr>
    <w:tr w:rsidR="001D6C4B" w:rsidTr="008425A3">
      <w:trPr>
        <w:trHeight w:val="332"/>
        <w:jc w:val="center"/>
      </w:trPr>
      <w:tc>
        <w:tcPr>
          <w:tcW w:w="2016" w:type="dxa"/>
          <w:vMerge/>
        </w:tcPr>
        <w:p w:rsidR="001D6C4B" w:rsidRPr="00822E7B" w:rsidRDefault="001D6C4B" w:rsidP="005E5BF7">
          <w:pPr>
            <w:pStyle w:val="stBilgi"/>
            <w:rPr>
              <w:sz w:val="20"/>
              <w:szCs w:val="20"/>
            </w:rPr>
          </w:pPr>
        </w:p>
      </w:tc>
      <w:tc>
        <w:tcPr>
          <w:tcW w:w="4956" w:type="dxa"/>
          <w:vMerge/>
          <w:vAlign w:val="center"/>
        </w:tcPr>
        <w:p w:rsidR="001D6C4B" w:rsidRPr="00822E7B" w:rsidRDefault="001D6C4B" w:rsidP="005E5BF7">
          <w:pPr>
            <w:pStyle w:val="stBilgi"/>
            <w:jc w:val="center"/>
            <w:rPr>
              <w:sz w:val="20"/>
              <w:szCs w:val="20"/>
            </w:rPr>
          </w:pPr>
        </w:p>
      </w:tc>
      <w:tc>
        <w:tcPr>
          <w:tcW w:w="1486" w:type="dxa"/>
          <w:vAlign w:val="center"/>
        </w:tcPr>
        <w:p w:rsidR="001D6C4B" w:rsidRPr="00051F41" w:rsidRDefault="001D6C4B" w:rsidP="005E5BF7">
          <w:pPr>
            <w:pStyle w:val="stBilgi"/>
            <w:rPr>
              <w:color w:val="000000" w:themeColor="text1"/>
              <w:sz w:val="18"/>
              <w:szCs w:val="18"/>
            </w:rPr>
          </w:pPr>
          <w:r w:rsidRPr="00051F41">
            <w:rPr>
              <w:color w:val="000000" w:themeColor="text1"/>
              <w:sz w:val="18"/>
              <w:szCs w:val="18"/>
            </w:rPr>
            <w:t>Sayfa No</w:t>
          </w:r>
        </w:p>
      </w:tc>
      <w:tc>
        <w:tcPr>
          <w:tcW w:w="1176" w:type="dxa"/>
          <w:vAlign w:val="center"/>
        </w:tcPr>
        <w:p w:rsidR="001D6C4B" w:rsidRDefault="001D6C4B" w:rsidP="00490C70">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F37AA7">
            <w:rPr>
              <w:noProof/>
              <w:color w:val="000000"/>
              <w:sz w:val="18"/>
              <w:szCs w:val="18"/>
            </w:rPr>
            <w:t>4</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F37AA7">
            <w:rPr>
              <w:noProof/>
              <w:color w:val="000000"/>
              <w:sz w:val="18"/>
              <w:szCs w:val="18"/>
            </w:rPr>
            <w:t>4</w:t>
          </w:r>
          <w:r>
            <w:rPr>
              <w:color w:val="000000"/>
              <w:sz w:val="18"/>
              <w:szCs w:val="18"/>
            </w:rPr>
            <w:fldChar w:fldCharType="end"/>
          </w:r>
        </w:p>
      </w:tc>
    </w:tr>
  </w:tbl>
  <w:p w:rsidR="001D6C4B" w:rsidRDefault="001D6C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F3689DC"/>
    <w:lvl w:ilvl="0">
      <w:start w:val="1"/>
      <w:numFmt w:val="decimal"/>
      <w:lvlText w:val="%1."/>
      <w:lvlJc w:val="left"/>
      <w:pPr>
        <w:ind w:left="360" w:hanging="360"/>
      </w:pPr>
      <w:rPr>
        <w:rFonts w:ascii="Times New Roman" w:hAnsi="Times New Roman"/>
        <w:b/>
        <w:i w:val="0"/>
      </w:rPr>
    </w:lvl>
    <w:lvl w:ilvl="1">
      <w:start w:val="1"/>
      <w:numFmt w:val="decimal"/>
      <w:lvlText w:val="%1.%2."/>
      <w:lvlJc w:val="left"/>
      <w:pPr>
        <w:ind w:left="792" w:hanging="432"/>
      </w:pPr>
      <w:rPr>
        <w:rFonts w:ascii="Times New Roman" w:hAnsi="Times New Roman"/>
        <w:b/>
        <w:i w:val="0"/>
      </w:rPr>
    </w:lvl>
    <w:lvl w:ilvl="2">
      <w:start w:val="1"/>
      <w:numFmt w:val="decimal"/>
      <w:lvlText w:val="%1.%2.%3."/>
      <w:lvlJc w:val="left"/>
      <w:pPr>
        <w:ind w:left="1224" w:hanging="504"/>
      </w:pPr>
      <w:rPr>
        <w:rFonts w:ascii="Times New Roman" w:hAnsi="Times New Roman"/>
        <w:b/>
        <w:i w:val="0"/>
      </w:rPr>
    </w:lvl>
    <w:lvl w:ilvl="3">
      <w:start w:val="1"/>
      <w:numFmt w:val="decimal"/>
      <w:lvlText w:val="%1.%2.%3.%4."/>
      <w:lvlJc w:val="left"/>
      <w:pPr>
        <w:ind w:left="1728" w:hanging="648"/>
      </w:pPr>
      <w:rPr>
        <w:rFonts w:ascii="Times New Roman" w:hAnsi="Times New Roman"/>
      </w:rPr>
    </w:lvl>
    <w:lvl w:ilvl="4">
      <w:start w:val="1"/>
      <w:numFmt w:val="decimal"/>
      <w:lvlText w:val="%1.%2.%3.%4.%5."/>
      <w:lvlJc w:val="left"/>
      <w:pPr>
        <w:ind w:left="2232" w:hanging="792"/>
      </w:pPr>
      <w:rPr>
        <w:rFonts w:ascii="Times New Roman" w:hAnsi="Times New Roman"/>
      </w:rPr>
    </w:lvl>
    <w:lvl w:ilvl="5">
      <w:start w:val="1"/>
      <w:numFmt w:val="decimal"/>
      <w:lvlText w:val="%1.%2.%3.%4.%5.%6."/>
      <w:lvlJc w:val="left"/>
      <w:pPr>
        <w:ind w:left="2736" w:hanging="936"/>
      </w:pPr>
      <w:rPr>
        <w:rFonts w:ascii="Times New Roman" w:hAnsi="Times New Roman"/>
      </w:rPr>
    </w:lvl>
    <w:lvl w:ilvl="6">
      <w:start w:val="1"/>
      <w:numFmt w:val="decimal"/>
      <w:lvlText w:val="%1.%2.%3.%4.%5.%6.%7."/>
      <w:lvlJc w:val="left"/>
      <w:pPr>
        <w:ind w:left="3240" w:hanging="1080"/>
      </w:pPr>
      <w:rPr>
        <w:rFonts w:ascii="Times New Roman" w:hAnsi="Times New Roman"/>
      </w:rPr>
    </w:lvl>
    <w:lvl w:ilvl="7">
      <w:start w:val="1"/>
      <w:numFmt w:val="decimal"/>
      <w:lvlText w:val="%1.%2.%3.%4.%5.%6.%7.%8."/>
      <w:lvlJc w:val="left"/>
      <w:pPr>
        <w:ind w:left="3744" w:hanging="1224"/>
      </w:pPr>
      <w:rPr>
        <w:rFonts w:ascii="Times New Roman" w:hAnsi="Times New Roman"/>
      </w:rPr>
    </w:lvl>
    <w:lvl w:ilvl="8">
      <w:start w:val="1"/>
      <w:numFmt w:val="decimal"/>
      <w:lvlText w:val="%1.%2.%3.%4.%5.%6.%7.%8.%9."/>
      <w:lvlJc w:val="left"/>
      <w:pPr>
        <w:ind w:left="4320" w:hanging="1440"/>
      </w:pPr>
      <w:rPr>
        <w:rFonts w:ascii="Times New Roman" w:hAnsi="Times New Roman"/>
      </w:rPr>
    </w:lvl>
  </w:abstractNum>
  <w:abstractNum w:abstractNumId="1" w15:restartNumberingAfterBreak="0">
    <w:nsid w:val="00000005"/>
    <w:multiLevelType w:val="hybridMultilevel"/>
    <w:tmpl w:val="C9D2353C"/>
    <w:lvl w:ilvl="0" w:tplc="5C675820">
      <w:start w:val="1"/>
      <w:numFmt w:val="bullet"/>
      <w:lvlText w:val=""/>
      <w:lvlJc w:val="left"/>
      <w:pPr>
        <w:ind w:left="720" w:hanging="360"/>
      </w:pPr>
      <w:rPr>
        <w:rFonts w:ascii="Symbol" w:hAnsi="Symbol"/>
        <w:color w:val="000000"/>
      </w:rPr>
    </w:lvl>
    <w:lvl w:ilvl="1" w:tplc="041F0003">
      <w:start w:val="1"/>
      <w:numFmt w:val="bullet"/>
      <w:lvlText w:val="o"/>
      <w:lvlJc w:val="left"/>
      <w:pPr>
        <w:ind w:left="1440" w:hanging="360"/>
      </w:pPr>
      <w:rPr>
        <w:rFonts w:ascii="Courier New" w:hAnsi="Courier New"/>
      </w:rPr>
    </w:lvl>
    <w:lvl w:ilvl="2" w:tplc="041F0005">
      <w:start w:val="1"/>
      <w:numFmt w:val="bullet"/>
      <w:lvlText w:val=""/>
      <w:lvlJc w:val="left"/>
      <w:pPr>
        <w:ind w:left="2160" w:hanging="360"/>
      </w:pPr>
      <w:rPr>
        <w:rFonts w:ascii="Wingdings" w:hAnsi="Wingdings"/>
      </w:rPr>
    </w:lvl>
    <w:lvl w:ilvl="3" w:tplc="041F0001">
      <w:start w:val="1"/>
      <w:numFmt w:val="bullet"/>
      <w:lvlText w:val=""/>
      <w:lvlJc w:val="left"/>
      <w:pPr>
        <w:ind w:left="2880" w:hanging="360"/>
      </w:pPr>
      <w:rPr>
        <w:rFonts w:ascii="Symbol" w:hAnsi="Symbol"/>
      </w:rPr>
    </w:lvl>
    <w:lvl w:ilvl="4" w:tplc="041F0003">
      <w:start w:val="1"/>
      <w:numFmt w:val="bullet"/>
      <w:lvlText w:val="o"/>
      <w:lvlJc w:val="left"/>
      <w:pPr>
        <w:ind w:left="3600" w:hanging="360"/>
      </w:pPr>
      <w:rPr>
        <w:rFonts w:ascii="Courier New" w:hAnsi="Courier New"/>
      </w:rPr>
    </w:lvl>
    <w:lvl w:ilvl="5" w:tplc="041F0005">
      <w:start w:val="1"/>
      <w:numFmt w:val="bullet"/>
      <w:lvlText w:val=""/>
      <w:lvlJc w:val="left"/>
      <w:pPr>
        <w:ind w:left="4320" w:hanging="360"/>
      </w:pPr>
      <w:rPr>
        <w:rFonts w:ascii="Wingdings" w:hAnsi="Wingdings"/>
      </w:rPr>
    </w:lvl>
    <w:lvl w:ilvl="6" w:tplc="041F0001">
      <w:start w:val="1"/>
      <w:numFmt w:val="bullet"/>
      <w:lvlText w:val=""/>
      <w:lvlJc w:val="left"/>
      <w:pPr>
        <w:ind w:left="5040" w:hanging="360"/>
      </w:pPr>
      <w:rPr>
        <w:rFonts w:ascii="Symbol" w:hAnsi="Symbol"/>
      </w:rPr>
    </w:lvl>
    <w:lvl w:ilvl="7" w:tplc="041F0003">
      <w:start w:val="1"/>
      <w:numFmt w:val="bullet"/>
      <w:lvlText w:val="o"/>
      <w:lvlJc w:val="left"/>
      <w:pPr>
        <w:ind w:left="5760" w:hanging="360"/>
      </w:pPr>
      <w:rPr>
        <w:rFonts w:ascii="Courier New" w:hAnsi="Courier New"/>
      </w:rPr>
    </w:lvl>
    <w:lvl w:ilvl="8" w:tplc="041F0005">
      <w:start w:val="1"/>
      <w:numFmt w:val="bullet"/>
      <w:lvlText w:val=""/>
      <w:lvlJc w:val="left"/>
      <w:pPr>
        <w:ind w:left="6480" w:hanging="360"/>
      </w:pPr>
      <w:rPr>
        <w:rFonts w:ascii="Wingdings" w:hAnsi="Wingdings"/>
      </w:rPr>
    </w:lvl>
  </w:abstractNum>
  <w:abstractNum w:abstractNumId="2"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D270B2"/>
    <w:multiLevelType w:val="hybridMultilevel"/>
    <w:tmpl w:val="71B82B04"/>
    <w:lvl w:ilvl="0" w:tplc="59081C98">
      <w:start w:val="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C93321F"/>
    <w:multiLevelType w:val="hybridMultilevel"/>
    <w:tmpl w:val="2DE88A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AD3BCB"/>
    <w:multiLevelType w:val="hybridMultilevel"/>
    <w:tmpl w:val="F95838F4"/>
    <w:lvl w:ilvl="0" w:tplc="0A38554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075BC8"/>
    <w:multiLevelType w:val="hybridMultilevel"/>
    <w:tmpl w:val="C6D67C1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50EF25E2"/>
    <w:multiLevelType w:val="hybridMultilevel"/>
    <w:tmpl w:val="1BEEC48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3"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2D2B91"/>
    <w:multiLevelType w:val="hybridMultilevel"/>
    <w:tmpl w:val="86FAAE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3728C9"/>
    <w:multiLevelType w:val="hybridMultilevel"/>
    <w:tmpl w:val="F1F49D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3"/>
  </w:num>
  <w:num w:numId="6">
    <w:abstractNumId w:val="14"/>
  </w:num>
  <w:num w:numId="7">
    <w:abstractNumId w:val="5"/>
  </w:num>
  <w:num w:numId="8">
    <w:abstractNumId w:val="17"/>
  </w:num>
  <w:num w:numId="9">
    <w:abstractNumId w:val="2"/>
  </w:num>
  <w:num w:numId="10">
    <w:abstractNumId w:val="6"/>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8"/>
  </w:num>
  <w:num w:numId="16">
    <w:abstractNumId w:val="16"/>
  </w:num>
  <w:num w:numId="17">
    <w:abstractNumId w:val="12"/>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66DE"/>
    <w:rsid w:val="00046EC1"/>
    <w:rsid w:val="0004739E"/>
    <w:rsid w:val="00056214"/>
    <w:rsid w:val="00064342"/>
    <w:rsid w:val="0006686A"/>
    <w:rsid w:val="00074AEA"/>
    <w:rsid w:val="00075DD7"/>
    <w:rsid w:val="00090A8B"/>
    <w:rsid w:val="000B1E3A"/>
    <w:rsid w:val="000B39ED"/>
    <w:rsid w:val="000B72DE"/>
    <w:rsid w:val="000C250C"/>
    <w:rsid w:val="000D4416"/>
    <w:rsid w:val="000D5222"/>
    <w:rsid w:val="00103A9A"/>
    <w:rsid w:val="001051E0"/>
    <w:rsid w:val="00110A86"/>
    <w:rsid w:val="0011227A"/>
    <w:rsid w:val="00115A99"/>
    <w:rsid w:val="00127934"/>
    <w:rsid w:val="001420DE"/>
    <w:rsid w:val="00142710"/>
    <w:rsid w:val="00142AB7"/>
    <w:rsid w:val="00144DF4"/>
    <w:rsid w:val="0014641C"/>
    <w:rsid w:val="001522D7"/>
    <w:rsid w:val="0016613A"/>
    <w:rsid w:val="00195C09"/>
    <w:rsid w:val="00196FD2"/>
    <w:rsid w:val="001C0362"/>
    <w:rsid w:val="001D6C4B"/>
    <w:rsid w:val="001D7908"/>
    <w:rsid w:val="002046C1"/>
    <w:rsid w:val="0023038A"/>
    <w:rsid w:val="00230BE8"/>
    <w:rsid w:val="00232FED"/>
    <w:rsid w:val="00240D36"/>
    <w:rsid w:val="002426ED"/>
    <w:rsid w:val="0024534C"/>
    <w:rsid w:val="0024545E"/>
    <w:rsid w:val="0026008B"/>
    <w:rsid w:val="00281C48"/>
    <w:rsid w:val="00281ECD"/>
    <w:rsid w:val="002B6FD5"/>
    <w:rsid w:val="002B753D"/>
    <w:rsid w:val="002C351D"/>
    <w:rsid w:val="002C6FF6"/>
    <w:rsid w:val="002D51CE"/>
    <w:rsid w:val="002D68E3"/>
    <w:rsid w:val="002F2073"/>
    <w:rsid w:val="00315735"/>
    <w:rsid w:val="003330D7"/>
    <w:rsid w:val="00337645"/>
    <w:rsid w:val="00361BA8"/>
    <w:rsid w:val="0036350C"/>
    <w:rsid w:val="003676D2"/>
    <w:rsid w:val="00384382"/>
    <w:rsid w:val="003911E6"/>
    <w:rsid w:val="003A155C"/>
    <w:rsid w:val="003A2C59"/>
    <w:rsid w:val="003A456A"/>
    <w:rsid w:val="003A5650"/>
    <w:rsid w:val="003C6071"/>
    <w:rsid w:val="003E4276"/>
    <w:rsid w:val="003F4DE1"/>
    <w:rsid w:val="00404BB6"/>
    <w:rsid w:val="004068FF"/>
    <w:rsid w:val="004374BC"/>
    <w:rsid w:val="00444E2A"/>
    <w:rsid w:val="0045212E"/>
    <w:rsid w:val="0045508B"/>
    <w:rsid w:val="004600F2"/>
    <w:rsid w:val="00462FC7"/>
    <w:rsid w:val="0047163D"/>
    <w:rsid w:val="00472650"/>
    <w:rsid w:val="00475429"/>
    <w:rsid w:val="00482281"/>
    <w:rsid w:val="0048719F"/>
    <w:rsid w:val="00490C70"/>
    <w:rsid w:val="00490CD2"/>
    <w:rsid w:val="004A1A8D"/>
    <w:rsid w:val="004A3C20"/>
    <w:rsid w:val="004B7442"/>
    <w:rsid w:val="004C3693"/>
    <w:rsid w:val="004C67B2"/>
    <w:rsid w:val="004E2E8A"/>
    <w:rsid w:val="004E3E30"/>
    <w:rsid w:val="00512CCB"/>
    <w:rsid w:val="00523E1C"/>
    <w:rsid w:val="00530E94"/>
    <w:rsid w:val="0053150E"/>
    <w:rsid w:val="00534C46"/>
    <w:rsid w:val="00553067"/>
    <w:rsid w:val="00576A96"/>
    <w:rsid w:val="00577FDD"/>
    <w:rsid w:val="0058071E"/>
    <w:rsid w:val="00587E20"/>
    <w:rsid w:val="005D1329"/>
    <w:rsid w:val="005E5BF7"/>
    <w:rsid w:val="005E5E6F"/>
    <w:rsid w:val="00607B6E"/>
    <w:rsid w:val="0061675F"/>
    <w:rsid w:val="00626CC5"/>
    <w:rsid w:val="00646A36"/>
    <w:rsid w:val="006648D3"/>
    <w:rsid w:val="006837A9"/>
    <w:rsid w:val="00693FDA"/>
    <w:rsid w:val="00694F88"/>
    <w:rsid w:val="006B4CC7"/>
    <w:rsid w:val="006D5326"/>
    <w:rsid w:val="006F6A52"/>
    <w:rsid w:val="00730723"/>
    <w:rsid w:val="00735660"/>
    <w:rsid w:val="00740829"/>
    <w:rsid w:val="00746E8F"/>
    <w:rsid w:val="00753A40"/>
    <w:rsid w:val="007612EE"/>
    <w:rsid w:val="00772513"/>
    <w:rsid w:val="007C1643"/>
    <w:rsid w:val="007C3D47"/>
    <w:rsid w:val="007D5262"/>
    <w:rsid w:val="007E3996"/>
    <w:rsid w:val="007E4812"/>
    <w:rsid w:val="007F10AF"/>
    <w:rsid w:val="007F14FC"/>
    <w:rsid w:val="00811CE9"/>
    <w:rsid w:val="00823BF5"/>
    <w:rsid w:val="00830EF0"/>
    <w:rsid w:val="00840D9F"/>
    <w:rsid w:val="008425A3"/>
    <w:rsid w:val="00846C77"/>
    <w:rsid w:val="008706F2"/>
    <w:rsid w:val="008B383B"/>
    <w:rsid w:val="008D3DB4"/>
    <w:rsid w:val="009514EA"/>
    <w:rsid w:val="00951CD0"/>
    <w:rsid w:val="00956A89"/>
    <w:rsid w:val="00961344"/>
    <w:rsid w:val="0096270A"/>
    <w:rsid w:val="00963FF5"/>
    <w:rsid w:val="009709E5"/>
    <w:rsid w:val="00997B61"/>
    <w:rsid w:val="009A1F52"/>
    <w:rsid w:val="009B4D9F"/>
    <w:rsid w:val="009C4EBE"/>
    <w:rsid w:val="009C789B"/>
    <w:rsid w:val="009E2F7E"/>
    <w:rsid w:val="00A14A87"/>
    <w:rsid w:val="00A447CE"/>
    <w:rsid w:val="00A63AC8"/>
    <w:rsid w:val="00A642F1"/>
    <w:rsid w:val="00A67861"/>
    <w:rsid w:val="00A87DDF"/>
    <w:rsid w:val="00A94557"/>
    <w:rsid w:val="00A94D56"/>
    <w:rsid w:val="00AA112E"/>
    <w:rsid w:val="00AA1AA7"/>
    <w:rsid w:val="00AC0C02"/>
    <w:rsid w:val="00AC16DF"/>
    <w:rsid w:val="00AC58D0"/>
    <w:rsid w:val="00AC607E"/>
    <w:rsid w:val="00AD0D47"/>
    <w:rsid w:val="00AE32BE"/>
    <w:rsid w:val="00AE4EF4"/>
    <w:rsid w:val="00AF28E7"/>
    <w:rsid w:val="00AF2BD1"/>
    <w:rsid w:val="00B01EE0"/>
    <w:rsid w:val="00B06F4F"/>
    <w:rsid w:val="00B31C35"/>
    <w:rsid w:val="00B32DBC"/>
    <w:rsid w:val="00B4675C"/>
    <w:rsid w:val="00B56D66"/>
    <w:rsid w:val="00B606D3"/>
    <w:rsid w:val="00B71F36"/>
    <w:rsid w:val="00B76928"/>
    <w:rsid w:val="00B92295"/>
    <w:rsid w:val="00B97395"/>
    <w:rsid w:val="00BA7F57"/>
    <w:rsid w:val="00BB2AE0"/>
    <w:rsid w:val="00BE7B31"/>
    <w:rsid w:val="00BF40F0"/>
    <w:rsid w:val="00C11E8B"/>
    <w:rsid w:val="00C13ABF"/>
    <w:rsid w:val="00C22D2C"/>
    <w:rsid w:val="00C2678B"/>
    <w:rsid w:val="00C27629"/>
    <w:rsid w:val="00C3247D"/>
    <w:rsid w:val="00C34DA1"/>
    <w:rsid w:val="00C65FC1"/>
    <w:rsid w:val="00C72A5E"/>
    <w:rsid w:val="00C74D6D"/>
    <w:rsid w:val="00C9097A"/>
    <w:rsid w:val="00C92748"/>
    <w:rsid w:val="00CA30A2"/>
    <w:rsid w:val="00CC1B6A"/>
    <w:rsid w:val="00CD0079"/>
    <w:rsid w:val="00CD5D6D"/>
    <w:rsid w:val="00CD794D"/>
    <w:rsid w:val="00CE6ABA"/>
    <w:rsid w:val="00CF632A"/>
    <w:rsid w:val="00D001E2"/>
    <w:rsid w:val="00D021F7"/>
    <w:rsid w:val="00D026A3"/>
    <w:rsid w:val="00D034C0"/>
    <w:rsid w:val="00D03997"/>
    <w:rsid w:val="00D201B5"/>
    <w:rsid w:val="00D33133"/>
    <w:rsid w:val="00D37E6F"/>
    <w:rsid w:val="00D50DC9"/>
    <w:rsid w:val="00D6134F"/>
    <w:rsid w:val="00D85D93"/>
    <w:rsid w:val="00D87108"/>
    <w:rsid w:val="00D87178"/>
    <w:rsid w:val="00DA01A9"/>
    <w:rsid w:val="00DB6CAB"/>
    <w:rsid w:val="00DC12C8"/>
    <w:rsid w:val="00DC5FA1"/>
    <w:rsid w:val="00DE0A65"/>
    <w:rsid w:val="00DE2EE9"/>
    <w:rsid w:val="00DE5968"/>
    <w:rsid w:val="00DF4768"/>
    <w:rsid w:val="00E01B0B"/>
    <w:rsid w:val="00E04336"/>
    <w:rsid w:val="00E12719"/>
    <w:rsid w:val="00E31A4F"/>
    <w:rsid w:val="00E511A4"/>
    <w:rsid w:val="00E56D57"/>
    <w:rsid w:val="00E575D6"/>
    <w:rsid w:val="00E73AA9"/>
    <w:rsid w:val="00E93043"/>
    <w:rsid w:val="00E96001"/>
    <w:rsid w:val="00EB0C7A"/>
    <w:rsid w:val="00EB4876"/>
    <w:rsid w:val="00EC53A8"/>
    <w:rsid w:val="00EF05C8"/>
    <w:rsid w:val="00F0489E"/>
    <w:rsid w:val="00F13ECD"/>
    <w:rsid w:val="00F22D59"/>
    <w:rsid w:val="00F22E9B"/>
    <w:rsid w:val="00F24203"/>
    <w:rsid w:val="00F302FE"/>
    <w:rsid w:val="00F37AA7"/>
    <w:rsid w:val="00F416F0"/>
    <w:rsid w:val="00F446EC"/>
    <w:rsid w:val="00F7610E"/>
    <w:rsid w:val="00FA4D10"/>
    <w:rsid w:val="00FB1195"/>
    <w:rsid w:val="00FB27E9"/>
    <w:rsid w:val="00FB3AF7"/>
    <w:rsid w:val="00FC0F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FCFC3"/>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styleId="AralkYok">
    <w:name w:val="No Spacing"/>
    <w:link w:val="AralkYokChar"/>
    <w:uiPriority w:val="1"/>
    <w:qFormat/>
    <w:rsid w:val="0024534C"/>
    <w:pPr>
      <w:spacing w:after="0" w:line="240" w:lineRule="auto"/>
    </w:pPr>
  </w:style>
  <w:style w:type="character" w:customStyle="1" w:styleId="AralkYokChar">
    <w:name w:val="Aralık Yok Char"/>
    <w:basedOn w:val="VarsaylanParagrafYazTipi"/>
    <w:link w:val="AralkYok"/>
    <w:uiPriority w:val="1"/>
    <w:rsid w:val="0024534C"/>
  </w:style>
  <w:style w:type="table" w:styleId="TabloKlavuzuAk">
    <w:name w:val="Grid Table Light"/>
    <w:basedOn w:val="NormalTablo"/>
    <w:uiPriority w:val="40"/>
    <w:rsid w:val="002453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
    <w:name w:val="Body Text"/>
    <w:basedOn w:val="Normal"/>
    <w:link w:val="GvdeMetniChar"/>
    <w:uiPriority w:val="1"/>
    <w:qFormat/>
    <w:rsid w:val="00FC0F37"/>
    <w:pPr>
      <w:widowControl w:val="0"/>
      <w:autoSpaceDE w:val="0"/>
      <w:autoSpaceDN w:val="0"/>
    </w:pPr>
    <w:rPr>
      <w:rFonts w:ascii="Microsoft Sans Serif" w:eastAsia="Microsoft Sans Serif" w:hAnsi="Microsoft Sans Serif" w:cs="Microsoft Sans Serif"/>
      <w:lang w:eastAsia="en-US"/>
    </w:rPr>
  </w:style>
  <w:style w:type="character" w:customStyle="1" w:styleId="GvdeMetniChar">
    <w:name w:val="Gövde Metni Char"/>
    <w:basedOn w:val="VarsaylanParagrafYazTipi"/>
    <w:link w:val="GvdeMetni"/>
    <w:uiPriority w:val="1"/>
    <w:rsid w:val="00FC0F37"/>
    <w:rPr>
      <w:rFonts w:ascii="Microsoft Sans Serif" w:eastAsia="Microsoft Sans Serif" w:hAnsi="Microsoft Sans Serif" w:cs="Microsoft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4197">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5F93F-097A-416C-BD69-F3162915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1057</Words>
  <Characters>6028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Merve Günes</cp:lastModifiedBy>
  <cp:revision>20</cp:revision>
  <cp:lastPrinted>2018-05-14T13:44:00Z</cp:lastPrinted>
  <dcterms:created xsi:type="dcterms:W3CDTF">2019-05-31T06:35:00Z</dcterms:created>
  <dcterms:modified xsi:type="dcterms:W3CDTF">2025-10-10T11:52:00Z</dcterms:modified>
</cp:coreProperties>
</file>