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C5" w:rsidRPr="00A00AC5" w:rsidRDefault="00A00AC5" w:rsidP="00A00AC5">
      <w:pPr>
        <w:numPr>
          <w:ilvl w:val="0"/>
          <w:numId w:val="7"/>
        </w:numPr>
        <w:spacing w:after="240" w:line="336" w:lineRule="auto"/>
        <w:ind w:left="0" w:firstLine="0"/>
        <w:contextualSpacing/>
        <w:rPr>
          <w:b/>
          <w:bCs/>
        </w:rPr>
      </w:pPr>
      <w:r w:rsidRPr="00A00AC5">
        <w:rPr>
          <w:b/>
          <w:bCs/>
        </w:rPr>
        <w:t>TARAFLAR</w:t>
      </w: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A00AC5" w:rsidRPr="00A00AC5" w:rsidTr="00235448">
        <w:tc>
          <w:tcPr>
            <w:tcW w:w="2410" w:type="dxa"/>
          </w:tcPr>
          <w:p w:rsidR="00A00AC5" w:rsidRPr="00A00AC5" w:rsidRDefault="00A00AC5" w:rsidP="006F7545">
            <w:pPr>
              <w:overflowPunct w:val="0"/>
              <w:autoSpaceDE w:val="0"/>
              <w:autoSpaceDN w:val="0"/>
              <w:adjustRightInd w:val="0"/>
              <w:spacing w:after="120" w:line="360" w:lineRule="auto"/>
              <w:textAlignment w:val="baseline"/>
              <w:rPr>
                <w:b/>
                <w:smallCaps/>
                <w:lang w:eastAsia="ko-KR"/>
              </w:rPr>
            </w:pPr>
            <w:r>
              <w:rPr>
                <w:b/>
                <w:smallCaps/>
                <w:lang w:eastAsia="ko-KR"/>
              </w:rPr>
              <w:t xml:space="preserve">VERİ </w:t>
            </w:r>
            <w:r w:rsidR="006F7545">
              <w:rPr>
                <w:b/>
                <w:smallCaps/>
                <w:lang w:eastAsia="ko-KR"/>
              </w:rPr>
              <w:t>ALICISI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235448">
        <w:tc>
          <w:tcPr>
            <w:tcW w:w="2410" w:type="dxa"/>
          </w:tcPr>
          <w:p w:rsidR="00A00AC5" w:rsidRPr="00A00AC5" w:rsidRDefault="00A00AC5" w:rsidP="006F754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VERİ </w:t>
            </w:r>
            <w:r w:rsidR="006F7545">
              <w:rPr>
                <w:b/>
                <w:smallCaps/>
                <w:lang w:eastAsia="ko-KR"/>
              </w:rPr>
              <w:t>SORUMLUSU</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bl>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GENEL HÜKÜMLER </w:t>
      </w:r>
    </w:p>
    <w:p w:rsidR="00EA74BC" w:rsidRDefault="00EA74BC" w:rsidP="00A00AC5"/>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sz w:val="24"/>
          <w:szCs w:val="24"/>
        </w:rPr>
        <w:t>Taraflar arasındaki ilişki dolayısıyla gerçekleşecek kişisel veri aktarımında, KVKK ve kişisel verilerin korunmasına ilişkin yürürlükteki ve/veya yürürlüğe girebilecek sair mevzuattan doğan ve/veya doğabilecek yükümlülüklere ilişkin tüm hususlarda işbu sözleşme hükümleri uygulanır.</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Veri sorumlusu, veri alıcısı ile paylaşacağı kişisel verileri </w:t>
      </w:r>
      <w:proofErr w:type="spellStart"/>
      <w:r w:rsidRPr="00C162B7">
        <w:rPr>
          <w:rFonts w:ascii="Times New Roman" w:hAnsi="Times New Roman"/>
          <w:sz w:val="24"/>
          <w:szCs w:val="24"/>
        </w:rPr>
        <w:t>KVKK’ya</w:t>
      </w:r>
      <w:proofErr w:type="spellEnd"/>
      <w:r w:rsidRPr="00C162B7">
        <w:rPr>
          <w:rFonts w:ascii="Times New Roman" w:hAnsi="Times New Roman"/>
          <w:sz w:val="24"/>
          <w:szCs w:val="24"/>
        </w:rPr>
        <w:t xml:space="preserve"> uygun olarak temin ettiğini ve ilettiğini, veri alıcısı tarafından sözleşmenin ifası amacıyla görevlendirilebilecek üçüncü kişi ve kuruluşlarla paylaşılabileceğini kabul, beyan ve taahhüt etmektedir. </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Veri Sorumlusu, veri alıcısı ile paylaştığı kişisel verileri ilgili kişinin açık rızası kapsamında veya </w:t>
      </w:r>
      <w:proofErr w:type="spellStart"/>
      <w:r w:rsidRPr="00C162B7">
        <w:rPr>
          <w:rFonts w:ascii="Times New Roman" w:hAnsi="Times New Roman"/>
          <w:sz w:val="24"/>
          <w:szCs w:val="24"/>
        </w:rPr>
        <w:t>KVKK’da</w:t>
      </w:r>
      <w:proofErr w:type="spellEnd"/>
      <w:r w:rsidRPr="00C162B7">
        <w:rPr>
          <w:rFonts w:ascii="Times New Roman" w:hAnsi="Times New Roman"/>
          <w:sz w:val="24"/>
          <w:szCs w:val="24"/>
        </w:rPr>
        <w:t xml:space="preserve"> yazılı diğer işleme şartlarına dayalı olarak aldığını kabul, beyan ve taahhüt etmektedir.</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Veri sorumlusu, veri alıcısından aldığı bildirimleri, ilgili mevzuat hükümleri çerçevesinde Kurula iletir. </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Veri sorumlusu, bünyesinde veri alıcısı ile paylaşılan veriler hakkında gerçekleşen herhangi bir ihlal durumunu veri alıcısı ile paylaşacaktır. </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sz w:val="24"/>
          <w:szCs w:val="24"/>
        </w:rPr>
        <w:t xml:space="preserve">Veri sorumlusu, işbu sözleşme ve kişisel verilerin korunması mevzuatı çerçevesindeki yükümlülüklerini yerine getirmemesi dolayısıyla veri alıcısının uğrayacağı zararı, maruz kaldığı idari para cezalarını tazmin etmekle yükümlüdür. </w:t>
      </w:r>
    </w:p>
    <w:p w:rsidR="006F7545" w:rsidRDefault="006F7545" w:rsidP="00A00AC5"/>
    <w:p w:rsidR="006F7545" w:rsidRPr="00702BCF"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702BCF">
        <w:rPr>
          <w:rFonts w:ascii="Times New Roman" w:hAnsi="Times New Roman"/>
          <w:sz w:val="24"/>
          <w:szCs w:val="24"/>
        </w:rPr>
        <w:t xml:space="preserve">Aşağıdaki yer alan hususlarda karar verme yetkisi, veri alıcısına bırakılmıştır: </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t>Kişisel verilerin toplanması için hangi bilgi teknolojileri sistemlerinin veya diğer metotların kullanılacağı,</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lastRenderedPageBreak/>
        <w:t>Kişisel verilerin hangi yöntemle saklanacağı,</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t>Kişisel verilerin korunması için alınacak güvenlik önlemlerinin detayları,</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t>Kişisel verilerin aktarımının hangi yöntemle yapılacağı</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t>Kişisel verilerin saklanmasına ilişkin sürelerin doğru uygulanabilmesi için kullanılacak metot,</w:t>
      </w:r>
    </w:p>
    <w:p w:rsidR="006F7545" w:rsidRPr="00702BCF" w:rsidRDefault="006F7545" w:rsidP="006F7545">
      <w:pPr>
        <w:pStyle w:val="ListeParagraf"/>
        <w:numPr>
          <w:ilvl w:val="2"/>
          <w:numId w:val="7"/>
        </w:numPr>
        <w:spacing w:line="336" w:lineRule="auto"/>
        <w:contextualSpacing/>
        <w:jc w:val="both"/>
        <w:rPr>
          <w:rFonts w:ascii="Times New Roman" w:hAnsi="Times New Roman"/>
          <w:sz w:val="24"/>
          <w:szCs w:val="24"/>
        </w:rPr>
      </w:pPr>
      <w:r w:rsidRPr="00702BCF">
        <w:rPr>
          <w:rFonts w:ascii="Times New Roman" w:hAnsi="Times New Roman"/>
          <w:sz w:val="24"/>
          <w:szCs w:val="24"/>
        </w:rPr>
        <w:t>Kişisel verilerin silinmesi, yok edilmesi ve anonim hale getirilmesi yöntemleri.</w:t>
      </w:r>
    </w:p>
    <w:p w:rsidR="006F7545" w:rsidRPr="00C162B7" w:rsidRDefault="006F7545" w:rsidP="006F7545">
      <w:pPr>
        <w:pStyle w:val="ListeParagraf"/>
        <w:spacing w:line="336" w:lineRule="auto"/>
        <w:ind w:left="1224"/>
        <w:contextualSpacing/>
        <w:jc w:val="both"/>
        <w:rPr>
          <w:rFonts w:ascii="Times New Roman" w:hAnsi="Times New Roman"/>
          <w:sz w:val="24"/>
          <w:szCs w:val="24"/>
          <w:highlight w:val="yellow"/>
        </w:rPr>
      </w:pPr>
    </w:p>
    <w:p w:rsidR="006F7545" w:rsidRPr="00C162B7" w:rsidRDefault="006F7545" w:rsidP="006F7545">
      <w:pPr>
        <w:pStyle w:val="ListeParagraf"/>
        <w:numPr>
          <w:ilvl w:val="0"/>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t xml:space="preserve">DİĞER HÜKÜMLER </w:t>
      </w: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t xml:space="preserve">Devir ve Süre </w:t>
      </w:r>
    </w:p>
    <w:p w:rsidR="00786861" w:rsidRPr="00786861" w:rsidRDefault="006F7545" w:rsidP="00786861">
      <w:pPr>
        <w:pStyle w:val="ListeParagraf"/>
        <w:numPr>
          <w:ilvl w:val="2"/>
          <w:numId w:val="7"/>
        </w:numPr>
        <w:spacing w:line="336" w:lineRule="auto"/>
        <w:ind w:left="0" w:firstLine="0"/>
        <w:contextualSpacing/>
        <w:jc w:val="both"/>
        <w:rPr>
          <w:rFonts w:ascii="Times New Roman" w:hAnsi="Times New Roman"/>
          <w:sz w:val="24"/>
          <w:szCs w:val="24"/>
        </w:rPr>
      </w:pPr>
      <w:r w:rsidRPr="00786861">
        <w:rPr>
          <w:rFonts w:ascii="Times New Roman" w:hAnsi="Times New Roman"/>
          <w:sz w:val="24"/>
          <w:szCs w:val="24"/>
        </w:rPr>
        <w:t xml:space="preserve">Tarafların gizlilik yükümlülükleri, aralarındaki iş ilişkisinin </w:t>
      </w:r>
      <w:r w:rsidR="00786861" w:rsidRPr="00786861">
        <w:rPr>
          <w:rFonts w:ascii="Times New Roman" w:hAnsi="Times New Roman"/>
          <w:sz w:val="24"/>
          <w:szCs w:val="24"/>
        </w:rPr>
        <w:t>kurulduğu tarihten başlamak üzere, sözleşmenin hangi nedenle sona erdiği hususu gözetilmeksizin, süresiz bir şekilde yürürlükte kalmaya devam edecektir.</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Bu Sözleşme ya da buradaki herhangi bir hak tamamen ya da kısmen devir konusu olamaz. </w:t>
      </w:r>
    </w:p>
    <w:p w:rsidR="006F7545" w:rsidRPr="00C162B7" w:rsidRDefault="006F7545" w:rsidP="006F7545">
      <w:pPr>
        <w:pStyle w:val="ListeParagraf"/>
        <w:spacing w:line="336" w:lineRule="auto"/>
        <w:jc w:val="both"/>
        <w:rPr>
          <w:rFonts w:ascii="Times New Roman" w:hAnsi="Times New Roman"/>
          <w:sz w:val="24"/>
          <w:szCs w:val="24"/>
        </w:rPr>
      </w:pP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sz w:val="24"/>
          <w:szCs w:val="24"/>
        </w:rPr>
      </w:pPr>
      <w:r w:rsidRPr="00C162B7">
        <w:rPr>
          <w:rFonts w:ascii="Times New Roman" w:hAnsi="Times New Roman"/>
          <w:b/>
          <w:bCs/>
          <w:sz w:val="24"/>
          <w:szCs w:val="24"/>
        </w:rPr>
        <w:t xml:space="preserve">Uygulanacak Hukuk ve Yetkili Mahkeme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Bu Sözleşme’nin yorumunda ve işbu Sözleşme sebebiyle ortaya çıkacak olan tüm uyuşmazlıklarda </w:t>
      </w:r>
      <w:r w:rsidR="007A6878" w:rsidRPr="007A6878">
        <w:rPr>
          <w:rFonts w:ascii="Times New Roman" w:hAnsi="Times New Roman"/>
          <w:b/>
          <w:color w:val="000000" w:themeColor="text1"/>
          <w:sz w:val="24"/>
          <w:szCs w:val="24"/>
        </w:rPr>
        <w:t>ISPARTA</w:t>
      </w:r>
      <w:r w:rsidR="007A6878">
        <w:rPr>
          <w:rFonts w:ascii="Times New Roman" w:hAnsi="Times New Roman"/>
          <w:b/>
          <w:color w:val="FF0000"/>
          <w:sz w:val="24"/>
          <w:szCs w:val="24"/>
        </w:rPr>
        <w:t xml:space="preserve"> </w:t>
      </w:r>
      <w:r w:rsidRPr="00C162B7">
        <w:rPr>
          <w:rFonts w:ascii="Times New Roman" w:hAnsi="Times New Roman"/>
          <w:sz w:val="24"/>
          <w:szCs w:val="24"/>
        </w:rPr>
        <w:t>mahkemeleri ve icra daireleri yetkili olup, Türk hukuku uygulanır. Davalarda, veri alıcısı kayıtlarının yegâne delil teşkil edeceği, muhatabın veri alıcısı aleyhine yemin teklif edemeyeceği esası geçerlidir.</w:t>
      </w:r>
    </w:p>
    <w:p w:rsidR="006F7545" w:rsidRDefault="006F7545" w:rsidP="00A00AC5"/>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t xml:space="preserve">Kopyalar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İşbu Sözleşme iki orijinal kopya olarak tanzim edilmiştir. Taraflar kendi nüshalarına ilişkin damga vergisinden mesuldürler. </w:t>
      </w:r>
    </w:p>
    <w:p w:rsidR="006F7545" w:rsidRPr="00C162B7" w:rsidRDefault="006F7545" w:rsidP="006F7545">
      <w:pPr>
        <w:pStyle w:val="ListeParagraf"/>
        <w:spacing w:line="336" w:lineRule="auto"/>
        <w:jc w:val="both"/>
        <w:rPr>
          <w:rFonts w:ascii="Times New Roman" w:hAnsi="Times New Roman"/>
          <w:sz w:val="24"/>
          <w:szCs w:val="24"/>
        </w:rPr>
      </w:pP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t xml:space="preserve">Geçerlilik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İşbu Sözleşme maddelerinden herhangi biri geçersiz sayılır ya da iptal edilir veya uygulanmazsa, bu hal Sözleşme’nin diğer maddelerinin geçerliğine etki etmez. </w:t>
      </w:r>
    </w:p>
    <w:p w:rsidR="006F7545" w:rsidRDefault="006F7545" w:rsidP="006F7545">
      <w:pPr>
        <w:spacing w:line="336" w:lineRule="auto"/>
      </w:pPr>
    </w:p>
    <w:p w:rsidR="006C1253" w:rsidRDefault="006C1253" w:rsidP="006F7545">
      <w:pPr>
        <w:spacing w:line="336" w:lineRule="auto"/>
      </w:pPr>
    </w:p>
    <w:p w:rsidR="006C1253" w:rsidRDefault="006C1253" w:rsidP="006F7545">
      <w:pPr>
        <w:spacing w:line="336" w:lineRule="auto"/>
      </w:pPr>
    </w:p>
    <w:p w:rsidR="006C1253" w:rsidRPr="00C162B7" w:rsidRDefault="006C1253" w:rsidP="006F7545">
      <w:pPr>
        <w:spacing w:line="336" w:lineRule="auto"/>
      </w:pP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lastRenderedPageBreak/>
        <w:t xml:space="preserve">Sözleşme Değişikliği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Bu Sözleşme tarafların gerçek niyetlerini yansıtıp, daha önce bu hususta yapılmış olan yazılı ve sözlü tüm anlaşmaların yerine geçer. Taraflarca yazılı olarak yapılmayan ve her iki tarafça da imzalanmayan hiçbir değişiklik hüküm ifade etmez. </w:t>
      </w:r>
    </w:p>
    <w:p w:rsidR="006F7545" w:rsidRPr="00C162B7" w:rsidRDefault="006F7545" w:rsidP="006F7545">
      <w:pPr>
        <w:pStyle w:val="ListeParagraf"/>
        <w:spacing w:line="336" w:lineRule="auto"/>
        <w:jc w:val="both"/>
        <w:rPr>
          <w:rFonts w:ascii="Times New Roman" w:hAnsi="Times New Roman"/>
          <w:sz w:val="24"/>
          <w:szCs w:val="24"/>
        </w:rPr>
      </w:pPr>
    </w:p>
    <w:p w:rsidR="006F7545" w:rsidRPr="00C162B7" w:rsidRDefault="006F7545" w:rsidP="006F7545">
      <w:pPr>
        <w:pStyle w:val="ListeParagraf"/>
        <w:numPr>
          <w:ilvl w:val="1"/>
          <w:numId w:val="7"/>
        </w:numPr>
        <w:spacing w:line="336" w:lineRule="auto"/>
        <w:ind w:left="0" w:firstLine="0"/>
        <w:contextualSpacing/>
        <w:jc w:val="both"/>
        <w:rPr>
          <w:rFonts w:ascii="Times New Roman" w:hAnsi="Times New Roman"/>
          <w:b/>
          <w:bCs/>
          <w:sz w:val="24"/>
          <w:szCs w:val="24"/>
        </w:rPr>
      </w:pPr>
      <w:r w:rsidRPr="00C162B7">
        <w:rPr>
          <w:rFonts w:ascii="Times New Roman" w:hAnsi="Times New Roman"/>
          <w:b/>
          <w:bCs/>
          <w:sz w:val="24"/>
          <w:szCs w:val="24"/>
        </w:rPr>
        <w:t xml:space="preserve">İhtarlar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Taraflar, aralarında Sözleşme gereğince yapılacak olan tüm bildirimlerin yazılı olması gerektiğini, ayrıca, aksi yazılı olarak bildirilmedikçe yukarıda yazılı adreslerinin kanuni tebligat adresleri olduğunu beyan ile bu adreslere yapılacak yazılı bildirimlerin kanunen geçerli tebligatın bütün hukuki sonuçlarını doğuracağını kabul etmişlerdir. </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İşbu Sözleşme’nin akdedilmiş olması, Tarafları, yapılması düşünülen İş </w:t>
      </w:r>
      <w:proofErr w:type="gramStart"/>
      <w:r w:rsidRPr="00C162B7">
        <w:rPr>
          <w:rFonts w:ascii="Times New Roman" w:hAnsi="Times New Roman"/>
          <w:sz w:val="24"/>
          <w:szCs w:val="24"/>
        </w:rPr>
        <w:t>dahil</w:t>
      </w:r>
      <w:proofErr w:type="gramEnd"/>
      <w:r w:rsidRPr="00C162B7">
        <w:rPr>
          <w:rFonts w:ascii="Times New Roman" w:hAnsi="Times New Roman"/>
          <w:sz w:val="24"/>
          <w:szCs w:val="24"/>
        </w:rPr>
        <w:t xml:space="preserve"> herhangi bir sözleşmenin akdedilmesi için kabul ve taahhüt altına sokmaz.</w:t>
      </w:r>
    </w:p>
    <w:p w:rsidR="006F7545" w:rsidRPr="00C162B7" w:rsidRDefault="006F7545" w:rsidP="006F7545">
      <w:pPr>
        <w:pStyle w:val="ListeParagraf"/>
        <w:numPr>
          <w:ilvl w:val="2"/>
          <w:numId w:val="7"/>
        </w:numPr>
        <w:spacing w:line="336" w:lineRule="auto"/>
        <w:ind w:left="0" w:firstLine="0"/>
        <w:contextualSpacing/>
        <w:jc w:val="both"/>
        <w:rPr>
          <w:rFonts w:ascii="Times New Roman" w:hAnsi="Times New Roman"/>
          <w:sz w:val="24"/>
          <w:szCs w:val="24"/>
        </w:rPr>
      </w:pPr>
      <w:r w:rsidRPr="00C162B7">
        <w:rPr>
          <w:rFonts w:ascii="Times New Roman" w:hAnsi="Times New Roman"/>
          <w:sz w:val="24"/>
          <w:szCs w:val="24"/>
        </w:rPr>
        <w:t xml:space="preserve">İşbu Sözleşme </w:t>
      </w:r>
      <w:r w:rsidRPr="006F7545">
        <w:rPr>
          <w:rFonts w:ascii="Times New Roman" w:hAnsi="Times New Roman"/>
          <w:b/>
          <w:color w:val="FF0000"/>
          <w:sz w:val="24"/>
          <w:szCs w:val="24"/>
        </w:rPr>
        <w:t>__/__/____</w:t>
      </w:r>
      <w:r w:rsidRPr="00C162B7">
        <w:rPr>
          <w:rFonts w:ascii="Times New Roman" w:hAnsi="Times New Roman"/>
          <w:sz w:val="24"/>
          <w:szCs w:val="24"/>
        </w:rPr>
        <w:t xml:space="preserve"> tarihinde, iki orijinal nüsha halinde hazırlanmış olup, taraflar ve halefleri için bağlayıcıdır.</w:t>
      </w:r>
    </w:p>
    <w:p w:rsidR="006F7545" w:rsidRPr="00C162B7" w:rsidRDefault="006F7545" w:rsidP="006F7545">
      <w:pPr>
        <w:pStyle w:val="ListeParagraf"/>
        <w:spacing w:line="336" w:lineRule="auto"/>
        <w:jc w:val="both"/>
        <w:rPr>
          <w:rFonts w:ascii="Times New Roman" w:hAnsi="Times New Roman"/>
          <w:sz w:val="24"/>
          <w:szCs w:val="24"/>
        </w:rPr>
      </w:pPr>
    </w:p>
    <w:tbl>
      <w:tblPr>
        <w:tblW w:w="9348" w:type="dxa"/>
        <w:tblInd w:w="-5" w:type="dxa"/>
        <w:tblLook w:val="04A0" w:firstRow="1" w:lastRow="0" w:firstColumn="1" w:lastColumn="0" w:noHBand="0" w:noVBand="1"/>
      </w:tblPr>
      <w:tblGrid>
        <w:gridCol w:w="4967"/>
        <w:gridCol w:w="4381"/>
      </w:tblGrid>
      <w:tr w:rsidR="006F7545" w:rsidRPr="00C162B7" w:rsidTr="006F7545">
        <w:trPr>
          <w:trHeight w:val="1061"/>
        </w:trPr>
        <w:tc>
          <w:tcPr>
            <w:tcW w:w="4967" w:type="dxa"/>
          </w:tcPr>
          <w:p w:rsidR="006F7545" w:rsidRPr="00C162B7" w:rsidRDefault="006F7545" w:rsidP="00786861">
            <w:pPr>
              <w:spacing w:line="336" w:lineRule="auto"/>
              <w:ind w:right="-810"/>
              <w:rPr>
                <w:b/>
                <w:bCs/>
              </w:rPr>
            </w:pPr>
            <w:r w:rsidRPr="00C162B7">
              <w:rPr>
                <w:b/>
                <w:bCs/>
              </w:rPr>
              <w:t>SÜLEYMAN DEMİREL ÜNİVERSİTESİ</w:t>
            </w:r>
            <w:r w:rsidR="00786861">
              <w:rPr>
                <w:b/>
                <w:bCs/>
              </w:rPr>
              <w:t xml:space="preserve">           </w:t>
            </w:r>
          </w:p>
          <w:p w:rsidR="006F7545" w:rsidRPr="00C162B7" w:rsidRDefault="006F7545" w:rsidP="007B7971">
            <w:pPr>
              <w:spacing w:line="336" w:lineRule="auto"/>
              <w:ind w:firstLine="709"/>
            </w:pPr>
          </w:p>
        </w:tc>
        <w:tc>
          <w:tcPr>
            <w:tcW w:w="4381" w:type="dxa"/>
          </w:tcPr>
          <w:p w:rsidR="006F7545" w:rsidRPr="00C162B7" w:rsidRDefault="006F7545" w:rsidP="007B7971">
            <w:pPr>
              <w:spacing w:line="336" w:lineRule="auto"/>
              <w:rPr>
                <w:b/>
              </w:rPr>
            </w:pPr>
            <w:r w:rsidRPr="00C162B7">
              <w:rPr>
                <w:b/>
              </w:rPr>
              <w:t>&lt;VERİ İŞLEYEN ADI&gt;</w:t>
            </w:r>
          </w:p>
        </w:tc>
      </w:tr>
    </w:tbl>
    <w:p w:rsidR="006F7545" w:rsidRPr="00A00AC5" w:rsidRDefault="006F7545" w:rsidP="00A00AC5"/>
    <w:sectPr w:rsidR="006F7545" w:rsidRPr="00A00AC5" w:rsidSect="00BB6EF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73" w:rsidRDefault="007A5973" w:rsidP="002773EF">
      <w:r>
        <w:separator/>
      </w:r>
    </w:p>
  </w:endnote>
  <w:endnote w:type="continuationSeparator" w:id="0">
    <w:p w:rsidR="007A5973" w:rsidRDefault="007A5973"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DB" w:rsidRDefault="001927D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DB" w:rsidRDefault="001927D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73" w:rsidRDefault="007A5973" w:rsidP="002773EF">
      <w:r>
        <w:separator/>
      </w:r>
    </w:p>
  </w:footnote>
  <w:footnote w:type="continuationSeparator" w:id="0">
    <w:p w:rsidR="007A5973" w:rsidRDefault="007A5973"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DB" w:rsidRDefault="001927D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6F7545" w:rsidRPr="00C162B7" w:rsidRDefault="006F7545" w:rsidP="006F7545">
          <w:pPr>
            <w:shd w:val="clear" w:color="auto" w:fill="FFFFFF"/>
            <w:spacing w:before="139"/>
            <w:jc w:val="center"/>
            <w:rPr>
              <w:b/>
              <w:noProof/>
              <w:spacing w:val="-1"/>
              <w:sz w:val="22"/>
              <w:szCs w:val="22"/>
            </w:rPr>
          </w:pPr>
          <w:r w:rsidRPr="00C162B7">
            <w:rPr>
              <w:b/>
              <w:sz w:val="22"/>
              <w:szCs w:val="22"/>
            </w:rPr>
            <w:t>Veri Alıcı Kişisel Veri Aktarım Sözleşmesi</w:t>
          </w:r>
        </w:p>
        <w:p w:rsidR="002773EF" w:rsidRPr="005E794C" w:rsidRDefault="002773EF" w:rsidP="00415158">
          <w:pPr>
            <w:pStyle w:val="stBilgi"/>
            <w:jc w:val="center"/>
            <w:rPr>
              <w:b/>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6F7545" w:rsidP="002773EF">
          <w:pPr>
            <w:pStyle w:val="stBilgi"/>
            <w:jc w:val="center"/>
            <w:rPr>
              <w:sz w:val="22"/>
              <w:szCs w:val="22"/>
            </w:rPr>
          </w:pPr>
          <w:bookmarkStart w:id="0" w:name="_GoBack"/>
          <w:r>
            <w:rPr>
              <w:sz w:val="22"/>
              <w:szCs w:val="22"/>
            </w:rPr>
            <w:t>SZ-008</w:t>
          </w:r>
          <w:bookmarkEnd w:id="0"/>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1927DB"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1927DB" w:rsidP="002773EF">
          <w:pPr>
            <w:pStyle w:val="stBilgi"/>
            <w:jc w:val="center"/>
            <w:rPr>
              <w:sz w:val="22"/>
              <w:szCs w:val="22"/>
            </w:rPr>
          </w:pPr>
          <w:r>
            <w:rPr>
              <w:sz w:val="22"/>
              <w:szCs w:val="22"/>
            </w:rPr>
            <w:t>10.03.2025</w:t>
          </w:r>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1927DB">
            <w:rPr>
              <w:noProof/>
              <w:color w:val="000000"/>
              <w:sz w:val="22"/>
              <w:szCs w:val="22"/>
            </w:rPr>
            <w:t>3</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1927DB">
            <w:rPr>
              <w:noProof/>
              <w:color w:val="000000"/>
              <w:sz w:val="22"/>
              <w:szCs w:val="22"/>
            </w:rPr>
            <w:t>3</w:t>
          </w:r>
          <w:r w:rsidRPr="005E794C">
            <w:rPr>
              <w:color w:val="000000"/>
              <w:sz w:val="22"/>
              <w:szCs w:val="22"/>
            </w:rPr>
            <w:fldChar w:fldCharType="end"/>
          </w:r>
        </w:p>
      </w:tc>
    </w:tr>
  </w:tbl>
  <w:p w:rsidR="002773EF" w:rsidRPr="005E794C" w:rsidRDefault="002773EF">
    <w:pPr>
      <w:pStyle w:val="stBilgi"/>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7DB" w:rsidRDefault="001927D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C4EE6"/>
    <w:multiLevelType w:val="multilevel"/>
    <w:tmpl w:val="257A2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66DB2"/>
    <w:multiLevelType w:val="multilevel"/>
    <w:tmpl w:val="ED58F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D4B3B"/>
    <w:multiLevelType w:val="multilevel"/>
    <w:tmpl w:val="ACE43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9"/>
  </w:num>
  <w:num w:numId="6">
    <w:abstractNumId w:val="5"/>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0F2101"/>
    <w:rsid w:val="001927DB"/>
    <w:rsid w:val="001D5CB5"/>
    <w:rsid w:val="001E5EC0"/>
    <w:rsid w:val="001F3E13"/>
    <w:rsid w:val="00235448"/>
    <w:rsid w:val="00260A5A"/>
    <w:rsid w:val="00275B56"/>
    <w:rsid w:val="002773EF"/>
    <w:rsid w:val="0028076A"/>
    <w:rsid w:val="00287DF4"/>
    <w:rsid w:val="002A55C4"/>
    <w:rsid w:val="002E20B8"/>
    <w:rsid w:val="00316C6E"/>
    <w:rsid w:val="00346FAC"/>
    <w:rsid w:val="003907FC"/>
    <w:rsid w:val="003A269C"/>
    <w:rsid w:val="003D136C"/>
    <w:rsid w:val="00415158"/>
    <w:rsid w:val="004710B3"/>
    <w:rsid w:val="00527382"/>
    <w:rsid w:val="00556DAB"/>
    <w:rsid w:val="005E794C"/>
    <w:rsid w:val="005F1C25"/>
    <w:rsid w:val="005F26C3"/>
    <w:rsid w:val="00650494"/>
    <w:rsid w:val="006B610E"/>
    <w:rsid w:val="006C1253"/>
    <w:rsid w:val="006F51DF"/>
    <w:rsid w:val="006F7545"/>
    <w:rsid w:val="00702BCF"/>
    <w:rsid w:val="0071309F"/>
    <w:rsid w:val="007301FB"/>
    <w:rsid w:val="00731410"/>
    <w:rsid w:val="00743579"/>
    <w:rsid w:val="00786861"/>
    <w:rsid w:val="007A4C74"/>
    <w:rsid w:val="007A5973"/>
    <w:rsid w:val="007A6878"/>
    <w:rsid w:val="007D28F3"/>
    <w:rsid w:val="008A02C2"/>
    <w:rsid w:val="00943670"/>
    <w:rsid w:val="009565B3"/>
    <w:rsid w:val="009D5911"/>
    <w:rsid w:val="009E2B43"/>
    <w:rsid w:val="00A00AC5"/>
    <w:rsid w:val="00A50C3A"/>
    <w:rsid w:val="00AA3453"/>
    <w:rsid w:val="00AB1AC8"/>
    <w:rsid w:val="00AC1245"/>
    <w:rsid w:val="00BA083A"/>
    <w:rsid w:val="00BB6EF6"/>
    <w:rsid w:val="00BF3575"/>
    <w:rsid w:val="00CF117A"/>
    <w:rsid w:val="00DF545C"/>
    <w:rsid w:val="00E31058"/>
    <w:rsid w:val="00E91669"/>
    <w:rsid w:val="00EA74BC"/>
    <w:rsid w:val="00F529D6"/>
    <w:rsid w:val="00FD67F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73ECE7"/>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5DACB-3659-48BA-9D7E-1442EBDA9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15</cp:revision>
  <dcterms:created xsi:type="dcterms:W3CDTF">2025-01-02T12:26:00Z</dcterms:created>
  <dcterms:modified xsi:type="dcterms:W3CDTF">2025-03-12T13:57:00Z</dcterms:modified>
</cp:coreProperties>
</file>