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1.AMAÇ</w:t>
      </w: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acil durumlarda yapılacak tahliye işlemlerine ilişkin uyulacak kuralları belirler.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KAPSAM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Süleyman Demirel Üniversitesi’nin Entegre Yönetim Sistemine dahil olan birimlerini kapsar.</w:t>
      </w:r>
      <w:r>
        <w:rPr>
          <w:rFonts w:ascii="Times New Roman" w:hAnsi="Times New Roman"/>
          <w:sz w:val="24"/>
        </w:rPr>
        <w:tab/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TANIMLAR</w:t>
      </w: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talimatta tanımlanması gereken herhangi bir terim bulunmamaktadır.</w:t>
      </w: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SORUMLULUKLAR</w:t>
      </w: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Genel Sekreter,</w:t>
      </w: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Sivil Savunma Birimi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UYGULAMA</w:t>
      </w:r>
    </w:p>
    <w:p w:rsidR="00E95A53" w:rsidRDefault="008613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5.1. Tahliye işlemlerinin yapılmasında görevli/yetkili personel sorumludur.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Tahliye emri verilmesi a</w:t>
      </w:r>
      <w:r>
        <w:rPr>
          <w:rFonts w:ascii="Times New Roman" w:hAnsi="Times New Roman"/>
          <w:sz w:val="24"/>
        </w:rPr>
        <w:t>nından itibaren geçerli olan tahliye işlemi düzenli ve emniyet tedbirleri alınarak yapılmalıdır.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Tahliye esnasında kesinlikle bağırılmamalı, amaçsız şekilde etrafta dolaşılmamalı görevli personelin tüm talimatlarına hassasiyetle riayet edilmelidir.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Tahliye esnasında yardım talep eden görevlilere yardımda bulunmaktan kaçınılmamalıdır.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Tahliye esnasında, tahliye yollarının kısmen dahi kapanmasına sebebiyet bir engel ile karşılaşıldığında görevli personelin gelerek yolu açması beklenmeyecek, </w:t>
      </w:r>
      <w:r>
        <w:rPr>
          <w:rFonts w:ascii="Times New Roman" w:hAnsi="Times New Roman"/>
          <w:sz w:val="24"/>
        </w:rPr>
        <w:t>yolun açılması için her türlü çaba gösterilecektir.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E95A53" w:rsidRDefault="008613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Tahliye sonrasında ulaşılacak olan bekleme ve toplanma bölgelerinde daha önceden belirlenmiş kurallara riayet edilecek ve yine görevlilerin talimatları doğrultusunda davranılacaktır.</w:t>
      </w:r>
    </w:p>
    <w:p w:rsidR="00E95A53" w:rsidRDefault="0086133A">
      <w:pPr>
        <w:pStyle w:val="AralkYok"/>
        <w:jc w:val="both"/>
        <w:rPr>
          <w:rFonts w:ascii="Times New Roman" w:hAnsi="Times New Roman"/>
          <w:sz w:val="24"/>
        </w:rPr>
      </w:pPr>
    </w:p>
    <w:p w:rsidR="00992DBE" w:rsidRDefault="00992DBE"/>
    <w:sectPr w:rsidR="00992DBE" w:rsidSect="00A95FC7">
      <w:headerReference w:type="default" r:id="rId6"/>
      <w:foot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3A" w:rsidRDefault="0086133A" w:rsidP="002773EF">
      <w:r>
        <w:separator/>
      </w:r>
    </w:p>
  </w:endnote>
  <w:endnote w:type="continuationSeparator" w:id="0">
    <w:p w:rsidR="0086133A" w:rsidRDefault="0086133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3A" w:rsidRDefault="0086133A" w:rsidP="002773EF">
      <w:r>
        <w:separator/>
      </w:r>
    </w:p>
  </w:footnote>
  <w:footnote w:type="continuationSeparator" w:id="0">
    <w:p w:rsidR="0086133A" w:rsidRDefault="0086133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1702"/>
      <w:gridCol w:w="4678"/>
      <w:gridCol w:w="1842"/>
      <w:gridCol w:w="1560"/>
    </w:tblGrid>
    <w:tr w:rsidR="002773EF" w:rsidTr="00A95FC7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Acil Durum Tahliye Talimatı</w:t>
          </w: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TL-015</w:t>
          </w:r>
        </w:p>
      </w:tc>
    </w:tr>
    <w:tr w:rsidR="002773EF" w:rsidTr="00A95FC7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A95FC7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A95FC7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A95FC7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A95FC7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A95FC7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6133A"/>
    <w:rsid w:val="008A02C2"/>
    <w:rsid w:val="00943670"/>
    <w:rsid w:val="00992DBE"/>
    <w:rsid w:val="00A50C3A"/>
    <w:rsid w:val="00A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696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2022-11-02T08:24:00Z</dcterms:modified>
</cp:coreProperties>
</file>