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943670" w:rsidRDefault="00943670">
      <w:pPr>
        <w:rPr>
          <w:b/>
        </w:rPr>
      </w:pPr>
    </w:p>
    <w:p w:rsidR="002A1606" w:rsidRDefault="00D7183C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AMAÇ</w:t>
      </w:r>
    </w:p>
    <w:p w:rsidR="002A1606" w:rsidRDefault="00D7183C">
      <w:pPr>
        <w:pStyle w:val="ListeParagraf"/>
        <w:spacing w:line="276" w:lineRule="auto"/>
        <w:jc w:val="both"/>
        <w:rPr>
          <w:rFonts w:ascii="Times New Roman" w:hAnsi="Times New Roman"/>
          <w:sz w:val="24"/>
        </w:rPr>
      </w:pPr>
    </w:p>
    <w:p w:rsidR="002A1606" w:rsidRDefault="00D7183C">
      <w:pPr>
        <w:pStyle w:val="ListeParagraf"/>
        <w:shd w:val="clear" w:color="auto" w:fill="FFFFFF"/>
        <w:spacing w:after="300" w:line="276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Bu talimatın amacı Süleyman Demirel Üniversitesi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bilişim sistemlerinde kullanılan internet çerezlerine ilişkin politikanın hazırlanması ve çerez kullanılan alanlarda uygulanması gereken pop-up uygulamalarının nasıl olması gerektiğidir.  </w:t>
      </w:r>
    </w:p>
    <w:p w:rsidR="001A789D" w:rsidRDefault="001A789D">
      <w:pPr>
        <w:pStyle w:val="ListeParagraf"/>
        <w:shd w:val="clear" w:color="auto" w:fill="FFFFFF"/>
        <w:spacing w:after="300" w:line="276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2A1606" w:rsidRDefault="00D7183C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KAPSAM</w:t>
      </w:r>
    </w:p>
    <w:p w:rsidR="002A1606" w:rsidRDefault="00D7183C">
      <w:pPr>
        <w:pStyle w:val="ListeParagraf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2A1606" w:rsidRDefault="00D7183C">
      <w:pPr>
        <w:pStyle w:val="ListeParagraf"/>
        <w:shd w:val="clear" w:color="auto" w:fill="FFFFFF"/>
        <w:spacing w:after="300" w:line="259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Bu talimat Üniversite bilişim sistemlerinde kullanılan internet çerezlerini kapsamaktadır. </w:t>
      </w:r>
    </w:p>
    <w:p w:rsidR="001A789D" w:rsidRDefault="001A789D">
      <w:pPr>
        <w:pStyle w:val="ListeParagraf"/>
        <w:shd w:val="clear" w:color="auto" w:fill="FFFFFF"/>
        <w:spacing w:after="300" w:line="259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2A1606" w:rsidRDefault="00D7183C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SORUMLULUKLAR</w:t>
      </w:r>
    </w:p>
    <w:p w:rsidR="002A1606" w:rsidRDefault="00D7183C">
      <w:pPr>
        <w:pStyle w:val="ListeParagraf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2A1606" w:rsidRDefault="00D7183C">
      <w:pPr>
        <w:pStyle w:val="ListeParagraf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Bu talimatın uygulanmasından Bilgi İşlem Birimi sorumludur</w:t>
      </w:r>
    </w:p>
    <w:p w:rsidR="002A1606" w:rsidRDefault="00D7183C">
      <w:pPr>
        <w:pStyle w:val="ListeParagraf"/>
        <w:spacing w:line="276" w:lineRule="auto"/>
        <w:ind w:left="360"/>
        <w:jc w:val="both"/>
        <w:rPr>
          <w:rFonts w:ascii="Times New Roman" w:hAnsi="Times New Roman"/>
          <w:b/>
          <w:color w:val="000000"/>
          <w:sz w:val="24"/>
        </w:rPr>
      </w:pPr>
    </w:p>
    <w:p w:rsidR="002A1606" w:rsidRDefault="00D7183C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UYGULAMA</w:t>
      </w:r>
    </w:p>
    <w:p w:rsidR="002A1606" w:rsidRDefault="00D7183C">
      <w:pPr>
        <w:pStyle w:val="ListeParagraf"/>
        <w:spacing w:line="276" w:lineRule="auto"/>
        <w:ind w:left="360"/>
        <w:jc w:val="both"/>
        <w:rPr>
          <w:rFonts w:ascii="Times New Roman" w:hAnsi="Times New Roman"/>
          <w:b/>
          <w:color w:val="000000"/>
          <w:sz w:val="24"/>
        </w:rPr>
      </w:pP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Çerez kullanımı sırasında aşağıdaki kurallara uyulması gerekmektedir. </w:t>
      </w:r>
    </w:p>
    <w:p w:rsidR="002A1606" w:rsidRDefault="00D7183C">
      <w:pPr>
        <w:pStyle w:val="ListeParagraf"/>
        <w:shd w:val="clear" w:color="auto" w:fill="FFFFFF"/>
        <w:spacing w:afterAutospacing="1"/>
        <w:contextualSpacing/>
        <w:jc w:val="both"/>
        <w:rPr>
          <w:rFonts w:ascii="Times New Roman" w:hAnsi="Times New Roman"/>
          <w:b/>
          <w:color w:val="000000"/>
          <w:sz w:val="24"/>
        </w:rPr>
      </w:pPr>
    </w:p>
    <w:p w:rsidR="002A1606" w:rsidRDefault="00D7183C">
      <w:pPr>
        <w:pStyle w:val="ListeParagraf"/>
        <w:numPr>
          <w:ilvl w:val="0"/>
          <w:numId w:val="2"/>
        </w:numPr>
        <w:shd w:val="clear" w:color="auto" w:fill="FFFFFF"/>
        <w:spacing w:after="300" w:line="259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Çerezlere ilişkin politika ve aydınlatma metni görüşmelerinden önce </w:t>
      </w:r>
      <w:hyperlink r:id="rId7" w:history="1">
        <w:r>
          <w:rPr>
            <w:rFonts w:ascii="Times New Roman" w:hAnsi="Times New Roman"/>
            <w:color w:val="000000"/>
            <w:sz w:val="24"/>
          </w:rPr>
          <w:t>https://www.kvkk.gov.tr/Icerik/2030/Rehberler</w:t>
        </w:r>
      </w:hyperlink>
      <w:r>
        <w:rPr>
          <w:rFonts w:ascii="Times New Roman" w:hAnsi="Times New Roman"/>
          <w:color w:val="000000"/>
          <w:sz w:val="24"/>
        </w:rPr>
        <w:t xml:space="preserve">  sitesinde yer alan “ÇEREZ UYGULAMALARI HAKKINDA REHBER”i okunması gerekmektedir. </w:t>
      </w:r>
    </w:p>
    <w:p w:rsidR="002A1606" w:rsidRDefault="00D7183C">
      <w:pPr>
        <w:pStyle w:val="ListeParagraf"/>
        <w:numPr>
          <w:ilvl w:val="0"/>
          <w:numId w:val="2"/>
        </w:numPr>
        <w:shd w:val="clear" w:color="auto" w:fill="FFFFFF"/>
        <w:spacing w:after="300" w:line="259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Bu kılavuz çerezler yoluyla kişisel verilerin işlenmesini kapsamakta olup kişisel veri işlenmesinde kullanılmayan çerezler bu rehberin kapsamı dışında kalmaktadır.</w:t>
      </w:r>
    </w:p>
    <w:p w:rsidR="002A1606" w:rsidRDefault="00D7183C">
      <w:pPr>
        <w:pStyle w:val="ListeParagraf"/>
        <w:numPr>
          <w:ilvl w:val="0"/>
          <w:numId w:val="2"/>
        </w:numPr>
        <w:shd w:val="clear" w:color="auto" w:fill="FFFFFF"/>
        <w:spacing w:after="300" w:line="259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Kullandı</w:t>
      </w:r>
      <w:r>
        <w:rPr>
          <w:rFonts w:ascii="Times New Roman" w:hAnsi="Times New Roman"/>
          <w:color w:val="000000"/>
          <w:sz w:val="24"/>
        </w:rPr>
        <w:t xml:space="preserve">ğınız çerezler ve bu çerezlerin işledikleri kişisel veriler tespit edilir. Özellikle çerezlerin adı, kullanım amacının, çerez süresinin, çerezin birinci ya da üçüncü taraf olup olmadığını belirlenmesi gerekmektedir. </w:t>
      </w:r>
    </w:p>
    <w:p w:rsidR="002A1606" w:rsidRDefault="00D7183C">
      <w:pPr>
        <w:pStyle w:val="ListeParagraf"/>
        <w:numPr>
          <w:ilvl w:val="0"/>
          <w:numId w:val="2"/>
        </w:numPr>
        <w:shd w:val="clear" w:color="auto" w:fill="FFFFFF"/>
        <w:spacing w:after="300" w:line="259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Rıza almayı gerektiren çerezlere ilişki</w:t>
      </w:r>
      <w:r>
        <w:rPr>
          <w:rFonts w:ascii="Times New Roman" w:hAnsi="Times New Roman"/>
          <w:color w:val="000000"/>
          <w:sz w:val="24"/>
        </w:rPr>
        <w:t xml:space="preserve">n rızaları, “rıza yorgunluğuna” neden olmaması için çerez ömrü ile orantılı olarak alınmasına dikkat edilir. </w:t>
      </w:r>
    </w:p>
    <w:p w:rsidR="002A1606" w:rsidRDefault="00D7183C">
      <w:pPr>
        <w:pStyle w:val="ListeParagraf"/>
        <w:numPr>
          <w:ilvl w:val="0"/>
          <w:numId w:val="2"/>
        </w:numPr>
        <w:shd w:val="clear" w:color="auto" w:fill="FFFFFF"/>
        <w:spacing w:after="300" w:line="259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Çerezler, ilgili kişiye sözleşmenin kurulması, ifanın veya hizmetin ön koşulu olarak sunulmamalıdır. Diğer bir deyişle “ya çerezlerimi kabul et ya</w:t>
      </w:r>
      <w:r>
        <w:rPr>
          <w:rFonts w:ascii="Times New Roman" w:hAnsi="Times New Roman"/>
          <w:color w:val="000000"/>
          <w:sz w:val="24"/>
        </w:rPr>
        <w:t xml:space="preserve"> da hizmetimden yararlanma” seçeneği ile çerez rızası dayatılmamalıdır. </w:t>
      </w:r>
    </w:p>
    <w:p w:rsidR="002A1606" w:rsidRDefault="00D7183C">
      <w:pPr>
        <w:pStyle w:val="ListeParagraf"/>
        <w:numPr>
          <w:ilvl w:val="0"/>
          <w:numId w:val="2"/>
        </w:numPr>
        <w:shd w:val="clear" w:color="auto" w:fill="FFFFFF"/>
        <w:spacing w:after="300" w:line="259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Çerez duvarı kullanılmamalıdır. Çerez duvarları bir ziyaretçinin internet sitesinde yer alan tüm çerezlerin kullanılmasına onay vermedikçe internet sitesinin içeriğini görüntülemesini</w:t>
      </w:r>
      <w:r>
        <w:rPr>
          <w:rFonts w:ascii="Times New Roman" w:hAnsi="Times New Roman"/>
          <w:color w:val="000000"/>
          <w:sz w:val="24"/>
        </w:rPr>
        <w:t xml:space="preserve"> engelleyen uygulamalardır. </w:t>
      </w:r>
    </w:p>
    <w:p w:rsidR="002A1606" w:rsidRDefault="00D7183C">
      <w:pPr>
        <w:pStyle w:val="ListeParagraf"/>
        <w:numPr>
          <w:ilvl w:val="0"/>
          <w:numId w:val="2"/>
        </w:numPr>
        <w:shd w:val="clear" w:color="auto" w:fill="FFFFFF"/>
        <w:spacing w:after="300" w:line="259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Çerez politikası ve aydınlatmanın site ziyareti ile birlikte kişisel veri işleme şartından bağımsız olarak internet sitesine giriş aşamasında yapılması gerekmekte olup internet sitesine girişte kişisel verilerin işlendiğine dai</w:t>
      </w:r>
      <w:r>
        <w:rPr>
          <w:rFonts w:ascii="Times New Roman" w:hAnsi="Times New Roman"/>
          <w:color w:val="000000"/>
          <w:sz w:val="24"/>
        </w:rPr>
        <w:t>r bir bilgilendirmenin sunulmadığı (ör. pop- up mesajlar) durumlarda aydınlatma yükümlülüğüne aykırılık gündeme gelebilecektir.</w:t>
      </w:r>
    </w:p>
    <w:p w:rsidR="002A1606" w:rsidRDefault="00D7183C">
      <w:pPr>
        <w:pStyle w:val="ListeParagraf"/>
        <w:numPr>
          <w:ilvl w:val="0"/>
          <w:numId w:val="2"/>
        </w:numPr>
        <w:shd w:val="clear" w:color="auto" w:fill="FFFFFF"/>
        <w:spacing w:after="300" w:line="259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Ürün ve/veya hizmetin hitap edeceği kitle çocuklar ise aydınlatma yükümlülüğü kapsamında çocukların algı düzeyine uygun bilgilen</w:t>
      </w:r>
      <w:r>
        <w:rPr>
          <w:rFonts w:ascii="Times New Roman" w:hAnsi="Times New Roman"/>
          <w:color w:val="000000"/>
          <w:sz w:val="24"/>
        </w:rPr>
        <w:t>dirici metinler hazırlanmalı, gerekirse resim ve görsel efektlerle desteklenen daha anlaşılır, sade ve açık bir dil kullanılmalıdır.</w:t>
      </w:r>
    </w:p>
    <w:p w:rsidR="002A1606" w:rsidRDefault="00D7183C">
      <w:pPr>
        <w:pStyle w:val="ListeParagraf"/>
        <w:numPr>
          <w:ilvl w:val="0"/>
          <w:numId w:val="2"/>
        </w:numPr>
        <w:shd w:val="clear" w:color="auto" w:fill="FFFFFF"/>
        <w:spacing w:after="300" w:line="259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Zorunlu değilse açık rıza gerektirmeyen çerezlerde saklama süresi oturumdan uzun olmaması gerekmektedir.</w:t>
      </w:r>
    </w:p>
    <w:p w:rsidR="002A1606" w:rsidRDefault="00D7183C">
      <w:pPr>
        <w:pStyle w:val="ListeParagraf"/>
        <w:numPr>
          <w:ilvl w:val="0"/>
          <w:numId w:val="2"/>
        </w:numPr>
        <w:shd w:val="clear" w:color="auto" w:fill="FFFFFF"/>
        <w:spacing w:after="300" w:line="259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Aynı şekilde bu çe</w:t>
      </w:r>
      <w:r>
        <w:rPr>
          <w:rFonts w:ascii="Times New Roman" w:hAnsi="Times New Roman"/>
          <w:color w:val="000000"/>
          <w:sz w:val="24"/>
        </w:rPr>
        <w:t>rezlerin yalnızca anonim istatistikler üretmek için kullanılması, kişilerin internet gezinmelerinin farklı internet siteleri veya uygulamalar arasında çapraz takibi (Temel internet teknolojisi, reklam ağı sağlayıcılarının ilgili kişileri farklı web siteler</w:t>
      </w:r>
      <w:r>
        <w:rPr>
          <w:rFonts w:ascii="Times New Roman" w:hAnsi="Times New Roman"/>
          <w:color w:val="000000"/>
          <w:sz w:val="24"/>
        </w:rPr>
        <w:t>inde ve zaman içinde izlemesine olanak tanımaktadır. Tarama alışkanlıkları hakkında toplanan bilgiler, ilgili kişilerin ilgi alanları hakkında kapsamlı profiller oluşturmak için analiz edilmektedir) amacıyla kullanılmaması gerekmektedir.</w:t>
      </w:r>
    </w:p>
    <w:p w:rsidR="002A1606" w:rsidRDefault="00D7183C">
      <w:pPr>
        <w:pStyle w:val="ListeParagraf"/>
        <w:numPr>
          <w:ilvl w:val="0"/>
          <w:numId w:val="2"/>
        </w:numPr>
        <w:shd w:val="clear" w:color="auto" w:fill="FFFFFF"/>
        <w:spacing w:after="300" w:line="259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Kullanılması zorun</w:t>
      </w:r>
      <w:r>
        <w:rPr>
          <w:rFonts w:ascii="Times New Roman" w:hAnsi="Times New Roman"/>
          <w:color w:val="000000"/>
          <w:sz w:val="24"/>
        </w:rPr>
        <w:t xml:space="preserve">lu olan çerezler dışında bilişim ara yüzlerinize tüm çerezlerin aktif bir işlem ile devreye girmesi gerekmektedir. Diğer bir deyişle, kullanıcı ara yüze girdiğinde zorunlu çerezler dışında hiçbir çerez aktif olmamalıdır. </w:t>
      </w:r>
    </w:p>
    <w:p w:rsidR="002A1606" w:rsidRDefault="00D7183C">
      <w:pPr>
        <w:pStyle w:val="ListeParagraf"/>
        <w:numPr>
          <w:ilvl w:val="0"/>
          <w:numId w:val="2"/>
        </w:numPr>
        <w:shd w:val="clear" w:color="auto" w:fill="FFFFFF"/>
        <w:spacing w:after="300" w:line="259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Kullanıcı ara yüze erişir erişmez </w:t>
      </w:r>
      <w:r>
        <w:rPr>
          <w:rFonts w:ascii="Times New Roman" w:hAnsi="Times New Roman"/>
          <w:color w:val="000000"/>
          <w:sz w:val="24"/>
        </w:rPr>
        <w:t xml:space="preserve">çerez seçenekleri kendisine sunulmalıdır. Bunun için pop-up kullanılmalıdır. </w:t>
      </w:r>
    </w:p>
    <w:p w:rsidR="001A789D" w:rsidRDefault="001A789D" w:rsidP="001A789D">
      <w:pPr>
        <w:pStyle w:val="ListeParagraf"/>
        <w:shd w:val="clear" w:color="auto" w:fill="FFFFFF"/>
        <w:spacing w:after="300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2A1606" w:rsidRDefault="00D7183C">
      <w:pPr>
        <w:pStyle w:val="ListeParagraf"/>
        <w:shd w:val="clear" w:color="auto" w:fill="FFFFFF"/>
        <w:spacing w:after="300" w:line="259" w:lineRule="auto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Arial" w:hAnsi="Arial"/>
          <w:noProof/>
          <w:color w:val="000000"/>
        </w:rPr>
        <w:drawing>
          <wp:anchor distT="45720" distB="45720" distL="114305" distR="11430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728970" cy="1266825"/>
            <wp:effectExtent l="0" t="0" r="5080" b="952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9613" cy="126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A1606" w:rsidRDefault="00D7183C">
      <w:pPr>
        <w:pStyle w:val="ListeParagraf"/>
        <w:shd w:val="clear" w:color="auto" w:fill="FFFFFF"/>
        <w:spacing w:after="300" w:line="259" w:lineRule="auto"/>
        <w:ind w:left="720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2A1606" w:rsidRDefault="00D7183C">
      <w:pPr>
        <w:pStyle w:val="ListeParagraf"/>
        <w:shd w:val="clear" w:color="auto" w:fill="FFFFFF"/>
        <w:spacing w:after="300" w:line="259" w:lineRule="auto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2A1606" w:rsidRDefault="00D7183C">
      <w:pPr>
        <w:pStyle w:val="ListeParagraf"/>
        <w:shd w:val="clear" w:color="auto" w:fill="FFFFFF"/>
        <w:spacing w:after="300" w:line="259" w:lineRule="auto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2A1606" w:rsidRDefault="00D7183C">
      <w:pPr>
        <w:pStyle w:val="ListeParagraf"/>
        <w:shd w:val="clear" w:color="auto" w:fill="FFFFFF"/>
        <w:spacing w:after="300" w:line="259" w:lineRule="auto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2A1606" w:rsidRDefault="00D7183C">
      <w:pPr>
        <w:pStyle w:val="ListeParagraf"/>
        <w:shd w:val="clear" w:color="auto" w:fill="FFFFFF"/>
        <w:spacing w:after="300" w:line="259" w:lineRule="auto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1A789D" w:rsidRDefault="001A789D">
      <w:pPr>
        <w:pStyle w:val="ListeParagraf"/>
        <w:shd w:val="clear" w:color="auto" w:fill="FFFFFF"/>
        <w:spacing w:after="300" w:line="259" w:lineRule="auto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2A1606" w:rsidRDefault="00D7183C">
      <w:pPr>
        <w:pStyle w:val="ListeParagraf"/>
        <w:numPr>
          <w:ilvl w:val="0"/>
          <w:numId w:val="2"/>
        </w:numPr>
        <w:shd w:val="clear" w:color="auto" w:fill="FFFFFF"/>
        <w:spacing w:after="300" w:line="259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Kullanılan zorunlu OLMAYAN çerezler opt-in seçeneği ile aktif hale getirilmelidir. Diğer bir deyişle, zorunlu olmayan çerezler boş gelmeli, ilgili kişi aktif etme seçeneği</w:t>
      </w:r>
      <w:r>
        <w:rPr>
          <w:rFonts w:ascii="Times New Roman" w:hAnsi="Times New Roman"/>
          <w:color w:val="000000"/>
          <w:sz w:val="24"/>
        </w:rPr>
        <w:t xml:space="preserve">ne tıkladığı takdirde çerezler devreye girmelidir.  </w:t>
      </w:r>
    </w:p>
    <w:p w:rsidR="002A1606" w:rsidRDefault="00D7183C">
      <w:pPr>
        <w:pStyle w:val="ListeParagraf"/>
        <w:spacing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lastRenderedPageBreak/>
        <w:drawing>
          <wp:inline distT="0" distB="0" distL="0" distR="0">
            <wp:extent cx="5678106" cy="3667442"/>
            <wp:effectExtent l="0" t="0" r="0" b="0"/>
            <wp:docPr id="2" name="Resim 8" descr="metin içeren bir resim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8106" cy="366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</w:p>
    <w:p w:rsidR="002A1606" w:rsidRDefault="00D7183C">
      <w:pPr>
        <w:pStyle w:val="ListeParagraf"/>
        <w:numPr>
          <w:ilvl w:val="0"/>
          <w:numId w:val="2"/>
        </w:numPr>
        <w:shd w:val="clear" w:color="auto" w:fill="FFFFFF"/>
        <w:spacing w:after="300" w:line="259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Kullanıcıların tercihlerini, sistemde kayıt altında tutulmalıdır. Kullanıcının çerezleri aktif hale getirmediğine ilişkin itirazlarına karşı ispat kapısı açısından bu kayıtların tutulması unutulmamalıdır. </w:t>
      </w:r>
    </w:p>
    <w:p w:rsidR="002A1606" w:rsidRDefault="00D7183C">
      <w:pPr>
        <w:pStyle w:val="ListeParagraf"/>
        <w:numPr>
          <w:ilvl w:val="0"/>
          <w:numId w:val="2"/>
        </w:numPr>
        <w:shd w:val="clear" w:color="auto" w:fill="FFFFFF"/>
        <w:spacing w:after="300" w:line="259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Politikayı tamamladıktan sonra aşağıda yer alan ko</w:t>
      </w:r>
      <w:r>
        <w:rPr>
          <w:rFonts w:ascii="Times New Roman" w:hAnsi="Times New Roman"/>
          <w:color w:val="000000"/>
          <w:sz w:val="24"/>
        </w:rPr>
        <w:t xml:space="preserve">ntrol listesini tamamlanmalıdır. </w:t>
      </w:r>
    </w:p>
    <w:p w:rsidR="001A789D" w:rsidRDefault="001A789D" w:rsidP="001A789D">
      <w:pPr>
        <w:pStyle w:val="ListeParagraf"/>
        <w:shd w:val="clear" w:color="auto" w:fill="FFFFFF"/>
        <w:spacing w:after="300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p w:rsidR="002A1606" w:rsidRDefault="00D7183C">
      <w:pPr>
        <w:pStyle w:val="ListeParagraf"/>
        <w:numPr>
          <w:ilvl w:val="1"/>
          <w:numId w:val="1"/>
        </w:numPr>
        <w:shd w:val="clear" w:color="auto" w:fill="FFFFFF"/>
        <w:spacing w:afterAutospacing="1"/>
        <w:contextualSpacing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ÇEREZ KULLANIMINA İLİŞKİN KONTROL LİSTESİ</w:t>
      </w:r>
    </w:p>
    <w:p w:rsidR="002A1606" w:rsidRDefault="00D7183C">
      <w:pPr>
        <w:pStyle w:val="ListeParagraf"/>
        <w:shd w:val="clear" w:color="auto" w:fill="FFFFFF"/>
        <w:spacing w:afterAutospacing="1"/>
        <w:ind w:left="792"/>
        <w:contextualSpacing/>
        <w:jc w:val="both"/>
        <w:rPr>
          <w:rFonts w:ascii="Times New Roman" w:hAnsi="Times New Roman"/>
          <w:b/>
          <w:color w:val="000000"/>
          <w:sz w:val="24"/>
        </w:rPr>
      </w:pPr>
    </w:p>
    <w:p w:rsidR="002A1606" w:rsidRDefault="00D7183C">
      <w:pPr>
        <w:pStyle w:val="ListeParagraf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Çerezleri Anlamak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Çerezlerin ne olduğunu ve ne için kullanılabileceğini anlıyoruz.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Oturum çerezleri ve kalıcı çerezler arasındaki farkı biliyoruz.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Birinci taraf ve üçüncü taraf çerezleri arasındaki farkı biliyoruz.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</w:p>
    <w:p w:rsidR="002A1606" w:rsidRDefault="00D7183C">
      <w:pPr>
        <w:pStyle w:val="ListeParagraf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Çerez Kullanımını Denetlemek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Çevrim içi hizmetimizin hangi çerezleri kullandığını veya kullanmayı amaçladığını hâlihazırda biliyoruz. İhtiyacımız olmayan tüm çerezleri kaldırdık.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Her</w:t>
      </w:r>
      <w:r>
        <w:rPr>
          <w:rFonts w:ascii="Times New Roman" w:hAnsi="Times New Roman"/>
          <w:color w:val="000000"/>
          <w:sz w:val="24"/>
        </w:rPr>
        <w:t xml:space="preserve"> bir çerezin amaçlarını tespit ettik.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Her bir çerezin hangi verileri işlediğini, kullanıcılarımız hakkında tuttuğumuz diğer bilgilerle bağlantılı olsun olmasın ya da kişisel veri işlemeyi içersin içermesin, tespit ettik.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Kişisel verilerin yer aldığı du</w:t>
      </w:r>
      <w:r>
        <w:rPr>
          <w:rFonts w:ascii="Times New Roman" w:hAnsi="Times New Roman"/>
          <w:color w:val="000000"/>
          <w:sz w:val="24"/>
        </w:rPr>
        <w:t>rumlarda, bu verilerin Kanunla uyumlu şekilde işlenmesini sağladık.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lastRenderedPageBreak/>
        <w:t>☐</w:t>
      </w:r>
      <w:r>
        <w:rPr>
          <w:rFonts w:ascii="Times New Roman" w:hAnsi="Times New Roman"/>
          <w:color w:val="000000"/>
          <w:sz w:val="24"/>
        </w:rPr>
        <w:t xml:space="preserve"> Çerezlerimizin oturum çerezleri mi yoksa kalıcı çerezler mi olduklarını tespit ettik.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Çerezlerimizin birinci taraf mı yoksa üçüncü taraf çerezler mi olduğunu tespit ettik.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Çerezlerimizin sona erme sürelerini ve bu sürelerin Kanun’a uygun olduğunu tespit ettik.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Kesinlikle gerekli olan ve olmayan çerezleri tespit ettik.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</w:p>
    <w:p w:rsidR="002A1606" w:rsidRDefault="00D7183C">
      <w:pPr>
        <w:pStyle w:val="ListeParagraf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Çerezler Hakkında Aydınlatma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Kullandığımız çerezlerle ilgili olarak net ve kolay bir şekilde anlaşılac</w:t>
      </w:r>
      <w:r>
        <w:rPr>
          <w:rFonts w:ascii="Times New Roman" w:hAnsi="Times New Roman"/>
          <w:color w:val="000000"/>
          <w:sz w:val="24"/>
        </w:rPr>
        <w:t>ak aydınlatmayı sağladık.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Aydınlatmanın kapsamlı olmasını ve kullandığımız kişisel veri işleyen tüm çerezleri kapsamasını sağladık.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</w:p>
    <w:p w:rsidR="002A1606" w:rsidRDefault="00D7183C">
      <w:pPr>
        <w:pStyle w:val="ListeParagraf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Çerezler için Açık Rıza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Çevrim içi hizmetlerimizin kullanıcılarının, kesinlikle gerekli olmayan tüm çerezlerin ayarları</w:t>
      </w:r>
      <w:r>
        <w:rPr>
          <w:rFonts w:ascii="Times New Roman" w:hAnsi="Times New Roman"/>
          <w:color w:val="000000"/>
          <w:sz w:val="24"/>
        </w:rPr>
        <w:t>nı kontrol etmelerine izin veren bir açık rıza mekanizmasını uygulamaya koyduk.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Açık rıza mekanizmalarımızın Kanun’a uygun olmasını sağladık.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Herhangi bir çerez açık rıza kaydını uygun bir süre için saklamaktayız.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</w:p>
    <w:p w:rsidR="002A1606" w:rsidRDefault="00D7183C">
      <w:pPr>
        <w:pStyle w:val="ListeParagraf"/>
        <w:numPr>
          <w:ilvl w:val="0"/>
          <w:numId w:val="3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Çerez Kullanımımızı Belgelemek ve Gözden Geçirmek</w:t>
      </w:r>
    </w:p>
    <w:p w:rsidR="002A1606" w:rsidRDefault="00D7183C">
      <w:pPr>
        <w:pStyle w:val="ListeParagraf"/>
        <w:jc w:val="both"/>
        <w:rPr>
          <w:rFonts w:ascii="Times New Roman" w:hAnsi="Times New Roman"/>
          <w:color w:val="000000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Yukarıdakilerin hepsini belgeledik.</w:t>
      </w:r>
    </w:p>
    <w:p w:rsidR="002A1606" w:rsidRDefault="00D7183C">
      <w:pPr>
        <w:pStyle w:val="ListeParagraf"/>
        <w:rPr>
          <w:rFonts w:ascii="Times New Roman" w:hAnsi="Times New Roman"/>
          <w:sz w:val="24"/>
        </w:rPr>
      </w:pPr>
      <w:r>
        <w:rPr>
          <w:rFonts w:ascii="MS Gothic" w:hAnsi="MS Gothic"/>
          <w:color w:val="000000"/>
          <w:sz w:val="24"/>
        </w:rPr>
        <w:t>☐</w:t>
      </w:r>
      <w:r>
        <w:rPr>
          <w:rFonts w:ascii="Times New Roman" w:hAnsi="Times New Roman"/>
          <w:color w:val="000000"/>
          <w:sz w:val="24"/>
        </w:rPr>
        <w:t xml:space="preserve"> Uygun bir gözden geçirme periyodu belirledik</w:t>
      </w:r>
    </w:p>
    <w:p w:rsidR="000A0939" w:rsidRDefault="000A0939"/>
    <w:sectPr w:rsidR="000A0939" w:rsidSect="001A789D">
      <w:headerReference w:type="default" r:id="rId10"/>
      <w:footerReference w:type="default" r:id="rId11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83C" w:rsidRDefault="00D7183C" w:rsidP="002773EF">
      <w:r>
        <w:separator/>
      </w:r>
    </w:p>
  </w:endnote>
  <w:endnote w:type="continuationSeparator" w:id="0">
    <w:p w:rsidR="00D7183C" w:rsidRDefault="00D7183C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Sürekli İşçi - Merve GÜNEŞ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Şube Müdürü - Zekai KÜNAR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Doktor Öğretim Üyesi - Veli ÇAPALI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83C" w:rsidRDefault="00D7183C" w:rsidP="002773EF">
      <w:r>
        <w:separator/>
      </w:r>
    </w:p>
  </w:footnote>
  <w:footnote w:type="continuationSeparator" w:id="0">
    <w:p w:rsidR="00D7183C" w:rsidRDefault="00D7183C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0065" w:type="dxa"/>
      <w:tblInd w:w="-431" w:type="dxa"/>
      <w:tblLook w:val="04A0" w:firstRow="1" w:lastRow="0" w:firstColumn="1" w:lastColumn="0" w:noHBand="0" w:noVBand="1"/>
    </w:tblPr>
    <w:tblGrid>
      <w:gridCol w:w="1560"/>
      <w:gridCol w:w="5103"/>
      <w:gridCol w:w="1985"/>
      <w:gridCol w:w="1417"/>
    </w:tblGrid>
    <w:tr w:rsidR="002773EF" w:rsidTr="001A789D">
      <w:trPr>
        <w:trHeight w:val="416"/>
      </w:trPr>
      <w:tc>
        <w:tcPr>
          <w:tcW w:w="1560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Çerez Politikası Hazırlama ve POP-UP Talimatı</w:t>
          </w:r>
        </w:p>
      </w:tc>
      <w:tc>
        <w:tcPr>
          <w:tcW w:w="1985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1417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TL-025</w:t>
          </w:r>
        </w:p>
      </w:tc>
    </w:tr>
    <w:tr w:rsidR="002773EF" w:rsidTr="001A789D">
      <w:trPr>
        <w:trHeight w:val="327"/>
      </w:trPr>
      <w:tc>
        <w:tcPr>
          <w:tcW w:w="1560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85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1417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6.12.2024</w:t>
          </w:r>
        </w:p>
      </w:tc>
    </w:tr>
    <w:tr w:rsidR="002773EF" w:rsidTr="001A789D">
      <w:trPr>
        <w:trHeight w:val="288"/>
      </w:trPr>
      <w:tc>
        <w:tcPr>
          <w:tcW w:w="1560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85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1417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6.12.2024</w:t>
          </w:r>
        </w:p>
      </w:tc>
    </w:tr>
    <w:tr w:rsidR="002773EF" w:rsidTr="001A789D">
      <w:trPr>
        <w:trHeight w:val="406"/>
      </w:trPr>
      <w:tc>
        <w:tcPr>
          <w:tcW w:w="1560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85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1417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1A789D">
      <w:trPr>
        <w:trHeight w:val="256"/>
      </w:trPr>
      <w:tc>
        <w:tcPr>
          <w:tcW w:w="1560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85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1417" w:type="dxa"/>
          <w:vAlign w:val="center"/>
        </w:tcPr>
        <w:p w:rsidR="002773EF" w:rsidRPr="004272E5" w:rsidRDefault="001A789D" w:rsidP="0071309F">
          <w:pPr>
            <w:pStyle w:val="stBilgi"/>
            <w:jc w:val="center"/>
            <w:rPr>
              <w:sz w:val="22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>
            <w:rPr>
              <w:noProof/>
              <w:color w:val="000000"/>
              <w:sz w:val="18"/>
              <w:szCs w:val="18"/>
            </w:rPr>
            <w:t>4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>
            <w:rPr>
              <w:noProof/>
              <w:color w:val="000000"/>
              <w:sz w:val="18"/>
              <w:szCs w:val="18"/>
            </w:rPr>
            <w:t>4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2773EF" w:rsidRDefault="002773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80809AC"/>
    <w:lvl w:ilvl="0">
      <w:start w:val="1"/>
      <w:numFmt w:val="decimal"/>
      <w:lvlText w:val="%1."/>
      <w:lvlJc w:val="left"/>
      <w:pPr>
        <w:spacing w:line="240" w:lineRule="auto"/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spacing w:line="240" w:lineRule="auto"/>
        <w:ind w:left="792" w:hanging="432"/>
      </w:pPr>
      <w:rPr>
        <w:rFonts w:ascii="Times New Roman" w:hAnsi="Times New Roman"/>
        <w:b/>
      </w:rPr>
    </w:lvl>
    <w:lvl w:ilvl="2">
      <w:start w:val="1"/>
      <w:numFmt w:val="decimal"/>
      <w:lvlText w:val="%1.%2.%3."/>
      <w:lvlJc w:val="left"/>
      <w:pPr>
        <w:spacing w:line="240" w:lineRule="auto"/>
        <w:ind w:left="1224" w:hanging="504"/>
      </w:pPr>
      <w:rPr>
        <w:rFonts w:ascii="Times New Roman" w:hAnsi="Times New Roman"/>
        <w:b/>
      </w:rPr>
    </w:lvl>
    <w:lvl w:ilvl="3">
      <w:start w:val="1"/>
      <w:numFmt w:val="decimal"/>
      <w:lvlText w:val="%1.%2.%3.%4."/>
      <w:lvlJc w:val="left"/>
      <w:pPr>
        <w:spacing w:line="240" w:lineRule="auto"/>
        <w:ind w:left="1728" w:hanging="648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spacing w:line="240" w:lineRule="auto"/>
        <w:ind w:left="2232" w:hanging="792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spacing w:line="240" w:lineRule="auto"/>
        <w:ind w:left="2736" w:hanging="936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spacing w:line="240" w:lineRule="auto"/>
        <w:ind w:left="3240" w:hanging="108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spacing w:line="240" w:lineRule="auto"/>
        <w:ind w:left="3744" w:hanging="1224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spacing w:line="240" w:lineRule="auto"/>
        <w:ind w:left="4320" w:hanging="144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hybridMultilevel"/>
    <w:tmpl w:val="4950F136"/>
    <w:lvl w:ilvl="0" w:tplc="041F0001">
      <w:start w:val="1"/>
      <w:numFmt w:val="bullet"/>
      <w:lvlText w:val=""/>
      <w:lvlJc w:val="left"/>
      <w:pPr>
        <w:spacing w:line="240" w:lineRule="auto"/>
        <w:ind w:left="720" w:hanging="360"/>
      </w:pPr>
      <w:rPr>
        <w:rFonts w:ascii="Symbol" w:hAnsi="Symbol"/>
      </w:rPr>
    </w:lvl>
    <w:lvl w:ilvl="1" w:tplc="041F0003">
      <w:start w:val="1"/>
      <w:numFmt w:val="bullet"/>
      <w:lvlText w:val="o"/>
      <w:lvlJc w:val="left"/>
      <w:pPr>
        <w:spacing w:line="240" w:lineRule="auto"/>
        <w:ind w:left="1440" w:hanging="360"/>
      </w:pPr>
      <w:rPr>
        <w:rFonts w:ascii="Courier New" w:hAnsi="Courier New"/>
      </w:rPr>
    </w:lvl>
    <w:lvl w:ilvl="2" w:tplc="041F0005">
      <w:start w:val="1"/>
      <w:numFmt w:val="bullet"/>
      <w:lvlText w:val=""/>
      <w:lvlJc w:val="left"/>
      <w:pPr>
        <w:spacing w:line="240" w:lineRule="auto"/>
        <w:ind w:left="2160" w:hanging="360"/>
      </w:pPr>
      <w:rPr>
        <w:rFonts w:ascii="Wingdings" w:hAnsi="Wingdings"/>
      </w:rPr>
    </w:lvl>
    <w:lvl w:ilvl="3" w:tplc="041F0001">
      <w:start w:val="1"/>
      <w:numFmt w:val="bullet"/>
      <w:lvlText w:val=""/>
      <w:lvlJc w:val="left"/>
      <w:pPr>
        <w:spacing w:line="240" w:lineRule="auto"/>
        <w:ind w:left="2880" w:hanging="360"/>
      </w:pPr>
      <w:rPr>
        <w:rFonts w:ascii="Symbol" w:hAnsi="Symbol"/>
      </w:rPr>
    </w:lvl>
    <w:lvl w:ilvl="4" w:tplc="041F0003">
      <w:start w:val="1"/>
      <w:numFmt w:val="bullet"/>
      <w:lvlText w:val="o"/>
      <w:lvlJc w:val="left"/>
      <w:pPr>
        <w:spacing w:line="240" w:lineRule="auto"/>
        <w:ind w:left="3600" w:hanging="360"/>
      </w:pPr>
      <w:rPr>
        <w:rFonts w:ascii="Courier New" w:hAnsi="Courier New"/>
      </w:rPr>
    </w:lvl>
    <w:lvl w:ilvl="5" w:tplc="041F0005">
      <w:start w:val="1"/>
      <w:numFmt w:val="bullet"/>
      <w:lvlText w:val=""/>
      <w:lvlJc w:val="left"/>
      <w:pPr>
        <w:spacing w:line="240" w:lineRule="auto"/>
        <w:ind w:left="4320" w:hanging="360"/>
      </w:pPr>
      <w:rPr>
        <w:rFonts w:ascii="Wingdings" w:hAnsi="Wingdings"/>
      </w:rPr>
    </w:lvl>
    <w:lvl w:ilvl="6" w:tplc="041F0001">
      <w:start w:val="1"/>
      <w:numFmt w:val="bullet"/>
      <w:lvlText w:val=""/>
      <w:lvlJc w:val="left"/>
      <w:pPr>
        <w:spacing w:line="240" w:lineRule="auto"/>
        <w:ind w:left="5040" w:hanging="360"/>
      </w:pPr>
      <w:rPr>
        <w:rFonts w:ascii="Symbol" w:hAnsi="Symbol"/>
      </w:rPr>
    </w:lvl>
    <w:lvl w:ilvl="7" w:tplc="041F0003">
      <w:start w:val="1"/>
      <w:numFmt w:val="bullet"/>
      <w:lvlText w:val="o"/>
      <w:lvlJc w:val="left"/>
      <w:pPr>
        <w:spacing w:line="240" w:lineRule="auto"/>
        <w:ind w:left="5760" w:hanging="360"/>
      </w:pPr>
      <w:rPr>
        <w:rFonts w:ascii="Courier New" w:hAnsi="Courier New"/>
      </w:rPr>
    </w:lvl>
    <w:lvl w:ilvl="8" w:tplc="041F0005">
      <w:start w:val="1"/>
      <w:numFmt w:val="bullet"/>
      <w:lvlText w:val=""/>
      <w:lvlJc w:val="left"/>
      <w:pPr>
        <w:spacing w:line="240" w:lineRule="auto"/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9CD2B13C"/>
    <w:lvl w:ilvl="0" w:tplc="570A8156">
      <w:start w:val="1"/>
      <w:numFmt w:val="decimal"/>
      <w:lvlText w:val="%1)"/>
      <w:lvlJc w:val="left"/>
      <w:pPr>
        <w:spacing w:line="240" w:lineRule="auto"/>
        <w:ind w:left="720" w:hanging="360"/>
      </w:pPr>
      <w:rPr>
        <w:rFonts w:ascii="Times New Roman" w:hAnsi="Times New Roman"/>
      </w:rPr>
    </w:lvl>
    <w:lvl w:ilvl="1" w:tplc="041F0019">
      <w:start w:val="1"/>
      <w:numFmt w:val="lowerLetter"/>
      <w:lvlText w:val="%2."/>
      <w:lvlJc w:val="left"/>
      <w:pPr>
        <w:spacing w:line="240" w:lineRule="auto"/>
        <w:ind w:left="1440" w:hanging="360"/>
      </w:pPr>
      <w:rPr>
        <w:rFonts w:ascii="Times New Roman" w:hAnsi="Times New Roman"/>
      </w:rPr>
    </w:lvl>
    <w:lvl w:ilvl="2" w:tplc="041F001B">
      <w:start w:val="1"/>
      <w:numFmt w:val="lowerRoman"/>
      <w:lvlText w:val="%3."/>
      <w:lvlJc w:val="right"/>
      <w:pPr>
        <w:spacing w:line="240" w:lineRule="auto"/>
        <w:ind w:left="2160" w:hanging="180"/>
      </w:pPr>
      <w:rPr>
        <w:rFonts w:ascii="Times New Roman" w:hAnsi="Times New Roman"/>
      </w:rPr>
    </w:lvl>
    <w:lvl w:ilvl="3" w:tplc="041F000F">
      <w:start w:val="1"/>
      <w:numFmt w:val="decimal"/>
      <w:lvlText w:val="%4."/>
      <w:lvlJc w:val="left"/>
      <w:pPr>
        <w:spacing w:line="240" w:lineRule="auto"/>
        <w:ind w:left="2880" w:hanging="360"/>
      </w:pPr>
      <w:rPr>
        <w:rFonts w:ascii="Times New Roman" w:hAnsi="Times New Roman"/>
      </w:rPr>
    </w:lvl>
    <w:lvl w:ilvl="4" w:tplc="041F0019">
      <w:start w:val="1"/>
      <w:numFmt w:val="lowerLetter"/>
      <w:lvlText w:val="%5."/>
      <w:lvlJc w:val="left"/>
      <w:pPr>
        <w:spacing w:line="240" w:lineRule="auto"/>
        <w:ind w:left="3600" w:hanging="360"/>
      </w:pPr>
      <w:rPr>
        <w:rFonts w:ascii="Times New Roman" w:hAnsi="Times New Roman"/>
      </w:rPr>
    </w:lvl>
    <w:lvl w:ilvl="5" w:tplc="041F001B">
      <w:start w:val="1"/>
      <w:numFmt w:val="lowerRoman"/>
      <w:lvlText w:val="%6."/>
      <w:lvlJc w:val="right"/>
      <w:pPr>
        <w:spacing w:line="240" w:lineRule="auto"/>
        <w:ind w:left="4320" w:hanging="180"/>
      </w:pPr>
      <w:rPr>
        <w:rFonts w:ascii="Times New Roman" w:hAnsi="Times New Roman"/>
      </w:rPr>
    </w:lvl>
    <w:lvl w:ilvl="6" w:tplc="041F000F">
      <w:start w:val="1"/>
      <w:numFmt w:val="decimal"/>
      <w:lvlText w:val="%7."/>
      <w:lvlJc w:val="left"/>
      <w:pPr>
        <w:spacing w:line="240" w:lineRule="auto"/>
        <w:ind w:left="5040" w:hanging="360"/>
      </w:pPr>
      <w:rPr>
        <w:rFonts w:ascii="Times New Roman" w:hAnsi="Times New Roman"/>
      </w:rPr>
    </w:lvl>
    <w:lvl w:ilvl="7" w:tplc="041F0019">
      <w:start w:val="1"/>
      <w:numFmt w:val="lowerLetter"/>
      <w:lvlText w:val="%8."/>
      <w:lvlJc w:val="left"/>
      <w:pPr>
        <w:spacing w:line="240" w:lineRule="auto"/>
        <w:ind w:left="5760" w:hanging="360"/>
      </w:pPr>
      <w:rPr>
        <w:rFonts w:ascii="Times New Roman" w:hAnsi="Times New Roman"/>
      </w:rPr>
    </w:lvl>
    <w:lvl w:ilvl="8" w:tplc="041F001B">
      <w:start w:val="1"/>
      <w:numFmt w:val="lowerRoman"/>
      <w:lvlText w:val="%9."/>
      <w:lvlJc w:val="right"/>
      <w:pPr>
        <w:spacing w:line="240" w:lineRule="auto"/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A0939"/>
    <w:rsid w:val="000B73B3"/>
    <w:rsid w:val="001A789D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  <w:rsid w:val="00D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4882A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pPr>
      <w:jc w:val="left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vkk.gov.tr/Icerik/2030/Rehberl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Merve Günes</cp:lastModifiedBy>
  <cp:revision>8</cp:revision>
  <dcterms:created xsi:type="dcterms:W3CDTF">2021-02-15T20:27:00Z</dcterms:created>
  <dcterms:modified xsi:type="dcterms:W3CDTF">2025-02-05T07:22:00Z</dcterms:modified>
</cp:coreProperties>
</file>